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49DC0" w14:textId="77777777" w:rsidR="000C67D8" w:rsidRPr="000C67D8" w:rsidRDefault="000C67D8" w:rsidP="000C67D8">
      <w:pPr>
        <w:spacing w:after="0"/>
        <w:jc w:val="center"/>
        <w:rPr>
          <w:rFonts w:eastAsia="Calibri" w:cs="Open Sans"/>
          <w:b/>
          <w:sz w:val="40"/>
          <w:szCs w:val="40"/>
          <w:lang w:val="cs-CZ" w:eastAsia="cs-CZ"/>
        </w:rPr>
      </w:pPr>
      <w:r w:rsidRPr="000C67D8">
        <w:rPr>
          <w:rFonts w:eastAsia="Calibri" w:cs="Open Sans"/>
          <w:b/>
          <w:sz w:val="40"/>
          <w:szCs w:val="40"/>
          <w:lang w:val="cs-CZ" w:eastAsia="cs-CZ"/>
        </w:rPr>
        <w:t xml:space="preserve">Smlouva </w:t>
      </w:r>
    </w:p>
    <w:p w14:paraId="6BFCF7C4" w14:textId="77777777" w:rsidR="00D92BC6" w:rsidRPr="00D92BC6" w:rsidRDefault="00D92BC6" w:rsidP="00D92BC6">
      <w:pPr>
        <w:spacing w:after="0"/>
        <w:jc w:val="center"/>
        <w:rPr>
          <w:rFonts w:eastAsia="Calibri" w:cs="Open Sans"/>
          <w:lang w:val="cs-CZ" w:eastAsia="cs-CZ"/>
        </w:rPr>
      </w:pPr>
      <w:r w:rsidRPr="00D92BC6">
        <w:rPr>
          <w:rFonts w:eastAsia="Calibri" w:cs="Open Sans"/>
          <w:lang w:val="cs-CZ" w:eastAsia="cs-CZ"/>
        </w:rPr>
        <w:t>uzavřená dle ust. § 1746 odst. 2 zákona č. 89/2012 Sb., občanský zákoník,</w:t>
      </w:r>
    </w:p>
    <w:p w14:paraId="62BA0966" w14:textId="77777777" w:rsidR="00D92BC6" w:rsidRPr="00D92BC6" w:rsidRDefault="00D92BC6" w:rsidP="00D92BC6">
      <w:pPr>
        <w:spacing w:after="0"/>
        <w:jc w:val="center"/>
        <w:rPr>
          <w:rFonts w:eastAsia="Calibri" w:cs="Open Sans"/>
          <w:lang w:val="cs-CZ" w:eastAsia="cs-CZ"/>
        </w:rPr>
      </w:pPr>
      <w:r w:rsidRPr="00D92BC6">
        <w:rPr>
          <w:rFonts w:eastAsia="Calibri" w:cs="Open Sans"/>
          <w:lang w:val="cs-CZ" w:eastAsia="cs-CZ"/>
        </w:rPr>
        <w:t>ve znění pozdějších předpisů („občanský zákoník“)</w:t>
      </w:r>
    </w:p>
    <w:p w14:paraId="5713797F" w14:textId="77777777" w:rsidR="002B22DE" w:rsidRDefault="002B22DE" w:rsidP="002B22DE">
      <w:pPr>
        <w:shd w:val="clear" w:color="auto" w:fill="FFFFFF"/>
        <w:spacing w:after="0"/>
        <w:ind w:left="720"/>
        <w:jc w:val="center"/>
        <w:rPr>
          <w:rFonts w:eastAsia="Calibri" w:cs="Open Sans"/>
          <w:b/>
          <w:sz w:val="28"/>
          <w:szCs w:val="28"/>
          <w:lang w:val="cs-CZ" w:eastAsia="cs-CZ"/>
        </w:rPr>
      </w:pPr>
    </w:p>
    <w:p w14:paraId="217492E4" w14:textId="5C451B5B" w:rsidR="002B22DE" w:rsidRPr="002B22DE" w:rsidRDefault="002B22DE" w:rsidP="002B22DE">
      <w:pPr>
        <w:shd w:val="clear" w:color="auto" w:fill="FFFFFF"/>
        <w:spacing w:after="0"/>
        <w:ind w:left="720"/>
        <w:jc w:val="center"/>
        <w:rPr>
          <w:rFonts w:eastAsia="Calibri" w:cs="Open Sans"/>
          <w:b/>
          <w:sz w:val="28"/>
          <w:szCs w:val="28"/>
          <w:lang w:val="cs-CZ" w:eastAsia="cs-CZ"/>
        </w:rPr>
      </w:pPr>
      <w:r w:rsidRPr="002B22DE">
        <w:rPr>
          <w:rFonts w:eastAsia="Calibri" w:cs="Open Sans"/>
          <w:b/>
          <w:sz w:val="28"/>
          <w:szCs w:val="28"/>
          <w:lang w:val="cs-CZ" w:eastAsia="cs-CZ"/>
        </w:rPr>
        <w:t xml:space="preserve">„o </w:t>
      </w:r>
      <w:r w:rsidR="005D727E" w:rsidRPr="005D727E">
        <w:rPr>
          <w:rFonts w:eastAsia="Calibri" w:cs="Open Sans"/>
          <w:b/>
          <w:sz w:val="28"/>
          <w:szCs w:val="28"/>
          <w:lang w:val="cs-CZ" w:eastAsia="cs-CZ"/>
        </w:rPr>
        <w:t>poskytování služeb čištění a zimní údržby</w:t>
      </w:r>
      <w:r w:rsidRPr="002B22DE">
        <w:rPr>
          <w:rFonts w:eastAsia="Calibri" w:cs="Open Sans"/>
          <w:b/>
          <w:sz w:val="28"/>
          <w:szCs w:val="28"/>
          <w:lang w:val="cs-CZ" w:eastAsia="cs-CZ"/>
        </w:rPr>
        <w:t>“</w:t>
      </w:r>
    </w:p>
    <w:p w14:paraId="66450F5A" w14:textId="77777777" w:rsidR="00AA4011" w:rsidRPr="00AA4011" w:rsidRDefault="00AA4011" w:rsidP="00625531">
      <w:pPr>
        <w:pStyle w:val="Nadpis1"/>
        <w:numPr>
          <w:ilvl w:val="0"/>
          <w:numId w:val="0"/>
        </w:numPr>
        <w:ind w:left="720"/>
        <w:jc w:val="both"/>
      </w:pPr>
    </w:p>
    <w:p w14:paraId="4D1341B2" w14:textId="45F4E3F6" w:rsidR="0069453D" w:rsidRPr="00CC74D2" w:rsidRDefault="00DE221D" w:rsidP="00F56026">
      <w:pPr>
        <w:pStyle w:val="Nadpis2"/>
        <w:rPr>
          <w:lang w:val="cs-CZ"/>
        </w:rPr>
      </w:pPr>
      <w:r w:rsidRPr="00F56026">
        <w:t>Smluvní</w:t>
      </w:r>
      <w:r w:rsidRPr="00CC74D2">
        <w:rPr>
          <w:lang w:val="cs-CZ"/>
        </w:rPr>
        <w:t xml:space="preserve"> strany</w:t>
      </w:r>
    </w:p>
    <w:p w14:paraId="21669E77" w14:textId="77777777" w:rsidR="007934DF" w:rsidRPr="007934DF" w:rsidRDefault="007934DF" w:rsidP="007934DF">
      <w:pPr>
        <w:spacing w:after="0"/>
        <w:rPr>
          <w:rFonts w:eastAsia="Calibri" w:cs="Open Sans"/>
          <w:b/>
          <w:bCs/>
          <w:lang w:val="cs-CZ" w:eastAsia="cs-CZ"/>
        </w:rPr>
      </w:pPr>
      <w:r w:rsidRPr="007934DF">
        <w:rPr>
          <w:rFonts w:eastAsia="Calibri" w:cs="Open Sans"/>
          <w:b/>
          <w:bCs/>
          <w:lang w:val="cs-CZ" w:eastAsia="cs-CZ"/>
        </w:rPr>
        <w:t xml:space="preserve">Objednatel </w:t>
      </w:r>
    </w:p>
    <w:tbl>
      <w:tblPr>
        <w:tblW w:w="9072" w:type="dxa"/>
        <w:tblInd w:w="57"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7934DF" w:rsidRPr="007934DF" w14:paraId="10DEA0F6" w14:textId="77777777" w:rsidTr="007934DF">
        <w:trPr>
          <w:trHeight w:val="284"/>
        </w:trPr>
        <w:tc>
          <w:tcPr>
            <w:tcW w:w="4328" w:type="dxa"/>
            <w:vAlign w:val="center"/>
            <w:hideMark/>
          </w:tcPr>
          <w:p w14:paraId="78D9F226" w14:textId="77777777" w:rsidR="007934DF" w:rsidRPr="007934DF" w:rsidRDefault="007934DF" w:rsidP="007934DF">
            <w:pPr>
              <w:spacing w:after="0"/>
              <w:rPr>
                <w:rFonts w:eastAsia="Times New Roman" w:cs="Open Sans"/>
                <w:bCs/>
                <w:lang w:val="cs-CZ" w:eastAsia="cs-CZ"/>
              </w:rPr>
            </w:pPr>
            <w:r w:rsidRPr="007934DF">
              <w:rPr>
                <w:rFonts w:eastAsia="Times New Roman" w:cs="Open Sans"/>
                <w:bCs/>
                <w:lang w:val="cs-CZ" w:eastAsia="cs-CZ"/>
              </w:rPr>
              <w:t>Název</w:t>
            </w:r>
          </w:p>
        </w:tc>
        <w:tc>
          <w:tcPr>
            <w:tcW w:w="4744" w:type="dxa"/>
            <w:vAlign w:val="center"/>
          </w:tcPr>
          <w:p w14:paraId="5C2BA17A" w14:textId="77777777" w:rsidR="007934DF" w:rsidRPr="007934DF" w:rsidRDefault="007934DF" w:rsidP="007934DF">
            <w:pPr>
              <w:spacing w:after="0"/>
              <w:rPr>
                <w:rFonts w:eastAsia="Calibri" w:cs="Open Sans"/>
                <w:b/>
                <w:lang w:val="cs-CZ"/>
              </w:rPr>
            </w:pPr>
            <w:r w:rsidRPr="007934DF">
              <w:rPr>
                <w:rFonts w:eastAsia="Calibri" w:cs="Open Sans"/>
                <w:b/>
                <w:lang w:val="cs-CZ"/>
              </w:rPr>
              <w:t>Město Ostrov</w:t>
            </w:r>
          </w:p>
        </w:tc>
      </w:tr>
      <w:tr w:rsidR="007934DF" w:rsidRPr="007934DF" w14:paraId="00D0E446" w14:textId="77777777" w:rsidTr="007934DF">
        <w:trPr>
          <w:trHeight w:val="284"/>
        </w:trPr>
        <w:tc>
          <w:tcPr>
            <w:tcW w:w="4328" w:type="dxa"/>
            <w:vAlign w:val="center"/>
          </w:tcPr>
          <w:p w14:paraId="47D1B676" w14:textId="77777777" w:rsidR="007934DF" w:rsidRPr="007934DF" w:rsidRDefault="007934DF" w:rsidP="007934DF">
            <w:pPr>
              <w:spacing w:after="0"/>
              <w:rPr>
                <w:rFonts w:eastAsia="Times New Roman" w:cs="Open Sans"/>
                <w:bCs/>
                <w:lang w:val="cs-CZ" w:eastAsia="cs-CZ"/>
              </w:rPr>
            </w:pPr>
            <w:r w:rsidRPr="007934DF">
              <w:rPr>
                <w:rFonts w:eastAsia="Times New Roman" w:cs="Open Sans"/>
                <w:bCs/>
                <w:lang w:val="cs-CZ" w:eastAsia="cs-CZ"/>
              </w:rPr>
              <w:t>Se sídlem</w:t>
            </w:r>
          </w:p>
        </w:tc>
        <w:tc>
          <w:tcPr>
            <w:tcW w:w="4744" w:type="dxa"/>
            <w:vAlign w:val="center"/>
          </w:tcPr>
          <w:p w14:paraId="5351B671" w14:textId="77777777" w:rsidR="007934DF" w:rsidRPr="007934DF" w:rsidRDefault="007934DF" w:rsidP="007934DF">
            <w:pPr>
              <w:spacing w:after="0"/>
              <w:rPr>
                <w:rFonts w:eastAsia="Calibri" w:cs="Open Sans"/>
                <w:b/>
                <w:lang w:val="cs-CZ"/>
              </w:rPr>
            </w:pPr>
            <w:r w:rsidRPr="007934DF">
              <w:rPr>
                <w:rFonts w:eastAsia="Calibri" w:cs="Open Sans"/>
                <w:lang w:val="cs-CZ"/>
              </w:rPr>
              <w:t>Jáchymovská 1, 363 01 Ostrov</w:t>
            </w:r>
          </w:p>
        </w:tc>
      </w:tr>
      <w:tr w:rsidR="007934DF" w:rsidRPr="007934DF" w14:paraId="1920F26C" w14:textId="77777777" w:rsidTr="007934DF">
        <w:trPr>
          <w:trHeight w:val="284"/>
        </w:trPr>
        <w:tc>
          <w:tcPr>
            <w:tcW w:w="4328" w:type="dxa"/>
            <w:vAlign w:val="center"/>
          </w:tcPr>
          <w:p w14:paraId="68D1EF06" w14:textId="77777777" w:rsidR="007934DF" w:rsidRPr="007934DF" w:rsidRDefault="007934DF" w:rsidP="007934DF">
            <w:pPr>
              <w:spacing w:after="0"/>
              <w:rPr>
                <w:rFonts w:eastAsia="Times New Roman" w:cs="Open Sans"/>
                <w:bCs/>
                <w:lang w:val="cs-CZ" w:eastAsia="cs-CZ"/>
              </w:rPr>
            </w:pPr>
            <w:r w:rsidRPr="007934DF">
              <w:rPr>
                <w:rFonts w:eastAsia="Times New Roman" w:cs="Open Sans"/>
                <w:lang w:val="cs-CZ" w:eastAsia="cs-CZ"/>
              </w:rPr>
              <w:t>Zastoupen</w:t>
            </w:r>
          </w:p>
        </w:tc>
        <w:tc>
          <w:tcPr>
            <w:tcW w:w="4744" w:type="dxa"/>
            <w:vAlign w:val="center"/>
          </w:tcPr>
          <w:p w14:paraId="58CBAFB7" w14:textId="77777777" w:rsidR="007934DF" w:rsidRPr="007934DF" w:rsidRDefault="007934DF" w:rsidP="007934DF">
            <w:pPr>
              <w:spacing w:after="0"/>
              <w:rPr>
                <w:rFonts w:eastAsia="Calibri" w:cs="Open Sans"/>
                <w:lang w:val="cs-CZ"/>
              </w:rPr>
            </w:pPr>
            <w:r w:rsidRPr="007934DF">
              <w:rPr>
                <w:rFonts w:eastAsia="Calibri" w:cs="Open Sans"/>
                <w:lang w:val="cs-CZ"/>
              </w:rPr>
              <w:t>Bc. Pavlem Čekanem, starostou</w:t>
            </w:r>
          </w:p>
        </w:tc>
      </w:tr>
      <w:tr w:rsidR="007934DF" w:rsidRPr="007934DF" w14:paraId="450C7E21" w14:textId="77777777" w:rsidTr="007934DF">
        <w:trPr>
          <w:trHeight w:val="284"/>
        </w:trPr>
        <w:tc>
          <w:tcPr>
            <w:tcW w:w="4328" w:type="dxa"/>
            <w:vAlign w:val="center"/>
            <w:hideMark/>
          </w:tcPr>
          <w:p w14:paraId="2000E524"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IČO</w:t>
            </w:r>
          </w:p>
        </w:tc>
        <w:tc>
          <w:tcPr>
            <w:tcW w:w="4744" w:type="dxa"/>
            <w:vAlign w:val="center"/>
          </w:tcPr>
          <w:p w14:paraId="5D6349A1" w14:textId="77777777" w:rsidR="007934DF" w:rsidRPr="007934DF" w:rsidRDefault="007934DF" w:rsidP="007934DF">
            <w:pPr>
              <w:spacing w:after="0"/>
              <w:rPr>
                <w:rFonts w:eastAsia="Calibri" w:cs="Open Sans"/>
                <w:lang w:val="cs-CZ"/>
              </w:rPr>
            </w:pPr>
            <w:r w:rsidRPr="007934DF">
              <w:rPr>
                <w:rFonts w:eastAsia="Calibri" w:cs="Open Sans"/>
                <w:lang w:val="cs-CZ"/>
              </w:rPr>
              <w:t>00254846</w:t>
            </w:r>
          </w:p>
        </w:tc>
      </w:tr>
      <w:tr w:rsidR="007934DF" w:rsidRPr="007934DF" w14:paraId="205C5500" w14:textId="77777777" w:rsidTr="007934DF">
        <w:trPr>
          <w:trHeight w:val="284"/>
        </w:trPr>
        <w:tc>
          <w:tcPr>
            <w:tcW w:w="4328" w:type="dxa"/>
            <w:vAlign w:val="center"/>
          </w:tcPr>
          <w:p w14:paraId="0B4F8D43"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DIČ</w:t>
            </w:r>
          </w:p>
        </w:tc>
        <w:tc>
          <w:tcPr>
            <w:tcW w:w="4744" w:type="dxa"/>
            <w:vAlign w:val="center"/>
          </w:tcPr>
          <w:p w14:paraId="05EAEB95" w14:textId="77777777" w:rsidR="007934DF" w:rsidRPr="007934DF" w:rsidRDefault="007934DF" w:rsidP="007934DF">
            <w:pPr>
              <w:spacing w:after="0"/>
              <w:rPr>
                <w:rFonts w:eastAsia="Calibri" w:cs="Open Sans"/>
                <w:lang w:val="cs-CZ"/>
              </w:rPr>
            </w:pPr>
            <w:r w:rsidRPr="007934DF">
              <w:rPr>
                <w:rFonts w:eastAsia="Calibri" w:cs="Open Sans"/>
                <w:lang w:val="cs-CZ"/>
              </w:rPr>
              <w:t>CZ00254843</w:t>
            </w:r>
          </w:p>
        </w:tc>
      </w:tr>
      <w:tr w:rsidR="007934DF" w:rsidRPr="007934DF" w14:paraId="76D7B4F9" w14:textId="77777777" w:rsidTr="007934DF">
        <w:trPr>
          <w:trHeight w:val="284"/>
        </w:trPr>
        <w:tc>
          <w:tcPr>
            <w:tcW w:w="4328" w:type="dxa"/>
            <w:vAlign w:val="center"/>
          </w:tcPr>
          <w:p w14:paraId="11359860"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Bankovní spojení</w:t>
            </w:r>
          </w:p>
        </w:tc>
        <w:tc>
          <w:tcPr>
            <w:tcW w:w="4744" w:type="dxa"/>
            <w:vAlign w:val="center"/>
          </w:tcPr>
          <w:p w14:paraId="50235744" w14:textId="77777777" w:rsidR="007934DF" w:rsidRPr="007934DF" w:rsidRDefault="007934DF" w:rsidP="007934DF">
            <w:pPr>
              <w:spacing w:after="0"/>
              <w:rPr>
                <w:rFonts w:eastAsia="Times New Roman" w:cs="Open Sans"/>
                <w:highlight w:val="green"/>
                <w:lang w:val="cs-CZ" w:eastAsia="cs-CZ"/>
              </w:rPr>
            </w:pPr>
            <w:r w:rsidRPr="007934DF">
              <w:rPr>
                <w:rFonts w:eastAsia="Calibri" w:cs="Open Sans"/>
                <w:lang w:val="cs-CZ"/>
              </w:rPr>
              <w:t>Komerční banka, a.s. Karlovy Vary, exp. Ostrov</w:t>
            </w:r>
          </w:p>
        </w:tc>
      </w:tr>
      <w:tr w:rsidR="007934DF" w:rsidRPr="007934DF" w14:paraId="3EB19916" w14:textId="77777777" w:rsidTr="007934DF">
        <w:trPr>
          <w:trHeight w:val="284"/>
        </w:trPr>
        <w:tc>
          <w:tcPr>
            <w:tcW w:w="4328" w:type="dxa"/>
            <w:vAlign w:val="center"/>
          </w:tcPr>
          <w:p w14:paraId="4C46BC87"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Číslo účtu</w:t>
            </w:r>
          </w:p>
        </w:tc>
        <w:tc>
          <w:tcPr>
            <w:tcW w:w="4744" w:type="dxa"/>
            <w:vAlign w:val="center"/>
          </w:tcPr>
          <w:p w14:paraId="50BB5B7D" w14:textId="77777777" w:rsidR="007934DF" w:rsidRPr="007934DF" w:rsidRDefault="007934DF" w:rsidP="007934DF">
            <w:pPr>
              <w:spacing w:after="0"/>
              <w:rPr>
                <w:rFonts w:eastAsia="Calibri" w:cs="Open Sans"/>
                <w:lang w:val="cs-CZ"/>
              </w:rPr>
            </w:pPr>
            <w:r w:rsidRPr="007934DF">
              <w:rPr>
                <w:rFonts w:eastAsia="Calibri" w:cs="Open Sans"/>
                <w:lang w:val="cs-CZ"/>
              </w:rPr>
              <w:t>920341/0100</w:t>
            </w:r>
          </w:p>
        </w:tc>
      </w:tr>
      <w:tr w:rsidR="007934DF" w:rsidRPr="007934DF" w14:paraId="4D4CC2A3" w14:textId="77777777" w:rsidTr="007934DF">
        <w:trPr>
          <w:trHeight w:val="284"/>
        </w:trPr>
        <w:tc>
          <w:tcPr>
            <w:tcW w:w="4328" w:type="dxa"/>
            <w:vAlign w:val="center"/>
            <w:hideMark/>
          </w:tcPr>
          <w:p w14:paraId="3E4AB031"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Tel.</w:t>
            </w:r>
          </w:p>
        </w:tc>
        <w:tc>
          <w:tcPr>
            <w:tcW w:w="4744" w:type="dxa"/>
            <w:vAlign w:val="center"/>
          </w:tcPr>
          <w:p w14:paraId="5256216A" w14:textId="77777777" w:rsidR="007934DF" w:rsidRPr="007934DF" w:rsidRDefault="007934DF" w:rsidP="007934DF">
            <w:pPr>
              <w:spacing w:after="0"/>
              <w:rPr>
                <w:rFonts w:eastAsia="Times New Roman" w:cs="Open Sans"/>
                <w:highlight w:val="green"/>
                <w:lang w:val="cs-CZ" w:eastAsia="cs-CZ"/>
              </w:rPr>
            </w:pPr>
            <w:r w:rsidRPr="007934DF">
              <w:rPr>
                <w:rFonts w:eastAsia="Calibri" w:cs="Open Sans"/>
                <w:lang w:val="cs-CZ"/>
              </w:rPr>
              <w:t>+420 354 920 999</w:t>
            </w:r>
          </w:p>
        </w:tc>
      </w:tr>
      <w:tr w:rsidR="007934DF" w:rsidRPr="007934DF" w14:paraId="52CC3B7B" w14:textId="77777777" w:rsidTr="007934DF">
        <w:trPr>
          <w:trHeight w:val="284"/>
        </w:trPr>
        <w:tc>
          <w:tcPr>
            <w:tcW w:w="4328" w:type="dxa"/>
            <w:tcBorders>
              <w:bottom w:val="single" w:sz="4" w:space="0" w:color="auto"/>
            </w:tcBorders>
            <w:vAlign w:val="center"/>
          </w:tcPr>
          <w:p w14:paraId="14D3CCF8"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e-mail</w:t>
            </w:r>
          </w:p>
        </w:tc>
        <w:tc>
          <w:tcPr>
            <w:tcW w:w="4744" w:type="dxa"/>
            <w:tcBorders>
              <w:bottom w:val="single" w:sz="4" w:space="0" w:color="auto"/>
            </w:tcBorders>
            <w:vAlign w:val="center"/>
          </w:tcPr>
          <w:p w14:paraId="1C6B1333" w14:textId="77777777" w:rsidR="007934DF" w:rsidRPr="007934DF" w:rsidRDefault="007934DF" w:rsidP="007934DF">
            <w:pPr>
              <w:spacing w:after="0"/>
              <w:rPr>
                <w:rFonts w:eastAsia="Calibri" w:cs="Open Sans"/>
                <w:lang w:val="cs-CZ"/>
              </w:rPr>
            </w:pPr>
            <w:r w:rsidRPr="007934DF">
              <w:rPr>
                <w:rFonts w:eastAsia="Calibri" w:cs="Open Sans"/>
                <w:lang w:val="cs-CZ"/>
              </w:rPr>
              <w:t>podatelna@ostrov.cz</w:t>
            </w:r>
          </w:p>
        </w:tc>
      </w:tr>
      <w:tr w:rsidR="007934DF" w:rsidRPr="007934DF" w14:paraId="2785A8CF" w14:textId="77777777" w:rsidTr="007934DF">
        <w:trPr>
          <w:trHeight w:val="284"/>
        </w:trPr>
        <w:tc>
          <w:tcPr>
            <w:tcW w:w="4328" w:type="dxa"/>
            <w:tcBorders>
              <w:top w:val="single" w:sz="4" w:space="0" w:color="auto"/>
              <w:left w:val="single" w:sz="4" w:space="0" w:color="auto"/>
              <w:bottom w:val="dashed" w:sz="4" w:space="0" w:color="7F7F7F"/>
              <w:right w:val="single" w:sz="4" w:space="0" w:color="auto"/>
            </w:tcBorders>
            <w:hideMark/>
          </w:tcPr>
          <w:p w14:paraId="0012C11E" w14:textId="77777777" w:rsidR="007934DF" w:rsidRPr="007934DF" w:rsidRDefault="007934DF" w:rsidP="007934DF">
            <w:pPr>
              <w:tabs>
                <w:tab w:val="left" w:pos="570"/>
              </w:tabs>
              <w:spacing w:after="0"/>
              <w:rPr>
                <w:rFonts w:eastAsia="Times New Roman" w:cs="Open Sans"/>
                <w:lang w:val="cs-CZ" w:eastAsia="cs-CZ"/>
              </w:rPr>
            </w:pPr>
            <w:r w:rsidRPr="007934DF">
              <w:rPr>
                <w:rFonts w:eastAsia="Times New Roman" w:cs="Open Sans"/>
                <w:lang w:val="cs-CZ" w:eastAsia="cs-CZ"/>
              </w:rPr>
              <w:t>Osoby oprávněné k jednání:</w:t>
            </w:r>
          </w:p>
          <w:p w14:paraId="6A8750CC" w14:textId="77777777" w:rsidR="007934DF" w:rsidRPr="007934DF" w:rsidRDefault="007934DF" w:rsidP="00517A82">
            <w:pPr>
              <w:numPr>
                <w:ilvl w:val="0"/>
                <w:numId w:val="9"/>
              </w:numPr>
              <w:tabs>
                <w:tab w:val="left" w:pos="570"/>
              </w:tabs>
              <w:spacing w:after="0"/>
              <w:ind w:left="644" w:hanging="414"/>
              <w:contextualSpacing/>
              <w:rPr>
                <w:rFonts w:eastAsia="Times New Roman" w:cs="Open Sans"/>
                <w:lang w:val="cs-CZ" w:eastAsia="cs-CZ"/>
              </w:rPr>
            </w:pPr>
            <w:r w:rsidRPr="007934DF">
              <w:rPr>
                <w:rFonts w:eastAsia="Times New Roman" w:cs="Open Sans"/>
                <w:lang w:val="cs-CZ" w:eastAsia="cs-CZ"/>
              </w:rPr>
              <w:t>ve věcech smluvních</w:t>
            </w:r>
          </w:p>
        </w:tc>
        <w:tc>
          <w:tcPr>
            <w:tcW w:w="4744" w:type="dxa"/>
            <w:tcBorders>
              <w:top w:val="single" w:sz="4" w:space="0" w:color="auto"/>
              <w:left w:val="single" w:sz="4" w:space="0" w:color="auto"/>
              <w:bottom w:val="dashed" w:sz="4" w:space="0" w:color="7F7F7F"/>
              <w:right w:val="single" w:sz="4" w:space="0" w:color="auto"/>
            </w:tcBorders>
            <w:vAlign w:val="center"/>
          </w:tcPr>
          <w:p w14:paraId="64338517" w14:textId="77777777" w:rsidR="007934DF" w:rsidRPr="007934DF" w:rsidRDefault="008E41A4" w:rsidP="007934DF">
            <w:pPr>
              <w:spacing w:after="0"/>
              <w:rPr>
                <w:rFonts w:eastAsia="Calibri" w:cs="Open Sans"/>
                <w:lang w:val="cs-CZ"/>
              </w:rPr>
            </w:pPr>
            <w:r w:rsidRPr="007934DF">
              <w:rPr>
                <w:rFonts w:eastAsia="Calibri" w:cs="Open Sans"/>
                <w:lang w:val="cs-CZ"/>
              </w:rPr>
              <w:t>Bc. Pavel Čekan, starosta</w:t>
            </w:r>
          </w:p>
        </w:tc>
      </w:tr>
      <w:tr w:rsidR="007934DF" w:rsidRPr="007934DF" w14:paraId="60E63396" w14:textId="77777777" w:rsidTr="007934DF">
        <w:trPr>
          <w:trHeight w:val="284"/>
        </w:trPr>
        <w:tc>
          <w:tcPr>
            <w:tcW w:w="4328" w:type="dxa"/>
            <w:tcBorders>
              <w:top w:val="dashed" w:sz="4" w:space="0" w:color="7F7F7F"/>
              <w:left w:val="single" w:sz="4" w:space="0" w:color="auto"/>
              <w:bottom w:val="single" w:sz="4" w:space="0" w:color="auto"/>
              <w:right w:val="single" w:sz="4" w:space="0" w:color="auto"/>
            </w:tcBorders>
          </w:tcPr>
          <w:p w14:paraId="4DA9E4CA" w14:textId="77777777" w:rsidR="007934DF" w:rsidRPr="007934DF" w:rsidRDefault="007934DF" w:rsidP="00517A82">
            <w:pPr>
              <w:numPr>
                <w:ilvl w:val="0"/>
                <w:numId w:val="9"/>
              </w:numPr>
              <w:tabs>
                <w:tab w:val="left" w:pos="570"/>
              </w:tabs>
              <w:spacing w:after="0"/>
              <w:ind w:left="644"/>
              <w:contextualSpacing/>
              <w:rPr>
                <w:rFonts w:eastAsia="Times New Roman" w:cs="Open Sans"/>
                <w:lang w:val="cs-CZ" w:eastAsia="cs-CZ"/>
              </w:rPr>
            </w:pPr>
            <w:r w:rsidRPr="007934DF">
              <w:rPr>
                <w:rFonts w:eastAsia="Times New Roman" w:cs="Open Sans"/>
                <w:lang w:val="cs-CZ" w:eastAsia="cs-CZ"/>
              </w:rPr>
              <w:t>ve věcech technických</w:t>
            </w:r>
          </w:p>
          <w:p w14:paraId="09BB0030" w14:textId="77777777" w:rsidR="007934DF" w:rsidRPr="007934DF" w:rsidRDefault="007934DF" w:rsidP="007934DF">
            <w:pPr>
              <w:tabs>
                <w:tab w:val="left" w:pos="570"/>
              </w:tabs>
              <w:spacing w:after="0"/>
              <w:rPr>
                <w:rFonts w:eastAsia="Times New Roman" w:cs="Open Sans"/>
                <w:lang w:val="cs-CZ" w:eastAsia="cs-CZ"/>
              </w:rPr>
            </w:pPr>
          </w:p>
        </w:tc>
        <w:tc>
          <w:tcPr>
            <w:tcW w:w="4744" w:type="dxa"/>
            <w:tcBorders>
              <w:top w:val="dashed" w:sz="4" w:space="0" w:color="7F7F7F"/>
              <w:left w:val="single" w:sz="4" w:space="0" w:color="auto"/>
              <w:bottom w:val="single" w:sz="4" w:space="0" w:color="auto"/>
              <w:right w:val="single" w:sz="4" w:space="0" w:color="auto"/>
            </w:tcBorders>
            <w:vAlign w:val="center"/>
          </w:tcPr>
          <w:p w14:paraId="20225A12" w14:textId="0EBAA0D7" w:rsidR="007934DF" w:rsidRPr="0061476D" w:rsidRDefault="0061476D" w:rsidP="007934DF">
            <w:pPr>
              <w:spacing w:after="0"/>
              <w:rPr>
                <w:rFonts w:eastAsia="Calibri" w:cs="Open Sans"/>
                <w:b/>
                <w:bCs/>
                <w:i/>
                <w:iCs/>
                <w:lang w:val="cs-CZ"/>
              </w:rPr>
            </w:pPr>
            <w:r w:rsidRPr="0061476D">
              <w:rPr>
                <w:rFonts w:eastAsia="Calibri" w:cs="Open Sans"/>
                <w:b/>
                <w:bCs/>
                <w:i/>
                <w:iCs/>
                <w:lang w:val="cs-CZ"/>
              </w:rPr>
              <w:t>(bude doplněno před uzavřením)</w:t>
            </w:r>
          </w:p>
        </w:tc>
      </w:tr>
      <w:tr w:rsidR="007934DF" w:rsidRPr="007934DF" w14:paraId="366E1E5F" w14:textId="77777777" w:rsidTr="007934DF">
        <w:trPr>
          <w:trHeight w:val="284"/>
        </w:trPr>
        <w:tc>
          <w:tcPr>
            <w:tcW w:w="4328" w:type="dxa"/>
            <w:tcBorders>
              <w:top w:val="single" w:sz="4" w:space="0" w:color="auto"/>
            </w:tcBorders>
          </w:tcPr>
          <w:p w14:paraId="7A55F388"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e-mail pro fakturaci:</w:t>
            </w:r>
          </w:p>
        </w:tc>
        <w:tc>
          <w:tcPr>
            <w:tcW w:w="4744" w:type="dxa"/>
            <w:tcBorders>
              <w:top w:val="single" w:sz="4" w:space="0" w:color="auto"/>
            </w:tcBorders>
            <w:vAlign w:val="center"/>
          </w:tcPr>
          <w:p w14:paraId="4E6C93C7" w14:textId="77777777" w:rsidR="007934DF" w:rsidRPr="007934DF" w:rsidRDefault="007934DF" w:rsidP="007934DF">
            <w:pPr>
              <w:spacing w:after="0"/>
              <w:rPr>
                <w:rFonts w:eastAsia="Calibri" w:cs="Open Sans"/>
                <w:lang w:val="cs-CZ"/>
              </w:rPr>
            </w:pPr>
            <w:r w:rsidRPr="007934DF">
              <w:rPr>
                <w:rFonts w:eastAsia="Calibri" w:cs="Open Sans"/>
                <w:lang w:val="cs-CZ"/>
              </w:rPr>
              <w:t>podatelna@ostrov.cz</w:t>
            </w:r>
          </w:p>
        </w:tc>
      </w:tr>
      <w:tr w:rsidR="007934DF" w:rsidRPr="007934DF" w14:paraId="310329AE" w14:textId="77777777" w:rsidTr="007934DF">
        <w:trPr>
          <w:trHeight w:val="284"/>
        </w:trPr>
        <w:tc>
          <w:tcPr>
            <w:tcW w:w="4328" w:type="dxa"/>
          </w:tcPr>
          <w:p w14:paraId="398FFDA0"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ID datové schránky:</w:t>
            </w:r>
          </w:p>
        </w:tc>
        <w:tc>
          <w:tcPr>
            <w:tcW w:w="4744" w:type="dxa"/>
            <w:vAlign w:val="center"/>
          </w:tcPr>
          <w:p w14:paraId="6401B82B" w14:textId="77777777" w:rsidR="007934DF" w:rsidRPr="007934DF" w:rsidRDefault="007934DF" w:rsidP="007934DF">
            <w:pPr>
              <w:spacing w:after="0"/>
              <w:rPr>
                <w:rFonts w:eastAsia="Calibri" w:cs="Open Sans"/>
                <w:lang w:val="cs-CZ"/>
              </w:rPr>
            </w:pPr>
            <w:r w:rsidRPr="007934DF">
              <w:rPr>
                <w:rFonts w:eastAsia="Calibri" w:cs="Open Sans"/>
                <w:lang w:val="cs-CZ"/>
              </w:rPr>
              <w:t>d5zbgz2</w:t>
            </w:r>
          </w:p>
        </w:tc>
      </w:tr>
    </w:tbl>
    <w:p w14:paraId="6162CCCE" w14:textId="77777777" w:rsidR="007934DF" w:rsidRPr="007934DF" w:rsidRDefault="007934DF" w:rsidP="007934DF">
      <w:pPr>
        <w:keepNext/>
        <w:spacing w:before="120" w:after="0"/>
        <w:jc w:val="center"/>
        <w:outlineLvl w:val="1"/>
        <w:rPr>
          <w:rFonts w:eastAsia="Calibri" w:cs="Open Sans"/>
          <w:i/>
          <w:szCs w:val="24"/>
          <w:lang w:val="cs-CZ" w:eastAsia="cs-CZ"/>
        </w:rPr>
      </w:pPr>
      <w:bookmarkStart w:id="0" w:name="_Toc396889313"/>
      <w:r w:rsidRPr="007934DF">
        <w:rPr>
          <w:rFonts w:eastAsia="Calibri" w:cs="Open Sans"/>
          <w:i/>
          <w:szCs w:val="24"/>
          <w:lang w:val="cs-CZ" w:eastAsia="cs-CZ"/>
        </w:rPr>
        <w:t>dále jen „Objednatel“ – na straně jedné</w:t>
      </w:r>
    </w:p>
    <w:p w14:paraId="2657D773" w14:textId="77777777" w:rsidR="007934DF" w:rsidRPr="007934DF" w:rsidRDefault="007934DF" w:rsidP="007934DF">
      <w:pPr>
        <w:spacing w:after="0"/>
        <w:rPr>
          <w:rFonts w:eastAsia="Calibri" w:cs="Open Sans"/>
          <w:lang w:val="cs-CZ" w:eastAsia="cs-CZ"/>
        </w:rPr>
      </w:pPr>
    </w:p>
    <w:p w14:paraId="12F11DBD" w14:textId="77777777" w:rsidR="007934DF" w:rsidRPr="007934DF" w:rsidRDefault="007934DF" w:rsidP="007934DF">
      <w:pPr>
        <w:spacing w:after="0"/>
        <w:rPr>
          <w:rFonts w:eastAsia="Calibri" w:cs="Open Sans"/>
          <w:lang w:val="cs-CZ" w:eastAsia="cs-CZ"/>
        </w:rPr>
      </w:pPr>
      <w:r w:rsidRPr="007934DF">
        <w:rPr>
          <w:rFonts w:eastAsia="Calibri" w:cs="Open Sans"/>
          <w:lang w:val="cs-CZ" w:eastAsia="cs-CZ"/>
        </w:rPr>
        <w:t>a</w:t>
      </w:r>
      <w:bookmarkEnd w:id="0"/>
    </w:p>
    <w:p w14:paraId="470E8FA9" w14:textId="77777777" w:rsidR="007934DF" w:rsidRPr="007934DF" w:rsidRDefault="007934DF" w:rsidP="007934DF">
      <w:pPr>
        <w:spacing w:after="0"/>
        <w:rPr>
          <w:rFonts w:eastAsia="Calibri" w:cs="Open Sans"/>
          <w:b/>
          <w:bCs/>
          <w:lang w:val="cs-CZ" w:eastAsia="cs-CZ"/>
        </w:rPr>
      </w:pPr>
      <w:r w:rsidRPr="007934DF">
        <w:rPr>
          <w:rFonts w:eastAsia="Calibri" w:cs="Open Sans"/>
          <w:b/>
          <w:bCs/>
          <w:lang w:val="cs-CZ" w:eastAsia="cs-CZ"/>
        </w:rPr>
        <w:t>Dodavatel</w:t>
      </w:r>
    </w:p>
    <w:tbl>
      <w:tblPr>
        <w:tblW w:w="9072" w:type="dxa"/>
        <w:tblInd w:w="57"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7934DF" w:rsidRPr="007934DF" w14:paraId="4E3890B4" w14:textId="77777777" w:rsidTr="007934DF">
        <w:trPr>
          <w:trHeight w:val="284"/>
        </w:trPr>
        <w:tc>
          <w:tcPr>
            <w:tcW w:w="4328" w:type="dxa"/>
            <w:vAlign w:val="center"/>
            <w:hideMark/>
          </w:tcPr>
          <w:p w14:paraId="14AA227C" w14:textId="77777777" w:rsidR="007934DF" w:rsidRPr="007934DF" w:rsidRDefault="007934DF" w:rsidP="007934DF">
            <w:pPr>
              <w:spacing w:after="0"/>
              <w:rPr>
                <w:rFonts w:eastAsia="Times New Roman" w:cs="Open Sans"/>
                <w:bCs/>
                <w:lang w:val="cs-CZ" w:eastAsia="cs-CZ"/>
              </w:rPr>
            </w:pPr>
            <w:r w:rsidRPr="007934DF">
              <w:rPr>
                <w:rFonts w:eastAsia="Times New Roman" w:cs="Open Sans"/>
                <w:bCs/>
                <w:lang w:val="cs-CZ" w:eastAsia="cs-CZ"/>
              </w:rPr>
              <w:t>Název</w:t>
            </w:r>
          </w:p>
        </w:tc>
        <w:tc>
          <w:tcPr>
            <w:tcW w:w="4744" w:type="dxa"/>
            <w:vAlign w:val="center"/>
            <w:hideMark/>
          </w:tcPr>
          <w:p w14:paraId="5DF9AB96" w14:textId="77777777" w:rsidR="007934DF" w:rsidRPr="007934DF" w:rsidRDefault="007934DF" w:rsidP="007934DF">
            <w:pPr>
              <w:spacing w:after="0"/>
              <w:rPr>
                <w:rFonts w:eastAsia="Times New Roman" w:cs="Open Sans"/>
                <w:b/>
                <w:highlight w:val="yellow"/>
                <w:lang w:val="cs-CZ" w:eastAsia="cs-CZ"/>
              </w:rPr>
            </w:pPr>
            <w:r w:rsidRPr="007934DF">
              <w:rPr>
                <w:rFonts w:eastAsia="Times New Roman" w:cs="Open Sans"/>
                <w:b/>
                <w:highlight w:val="yellow"/>
                <w:lang w:val="cs-CZ" w:eastAsia="cs-CZ"/>
              </w:rPr>
              <w:fldChar w:fldCharType="begin">
                <w:ffData>
                  <w:name w:val="Text1"/>
                  <w:enabled/>
                  <w:calcOnExit w:val="0"/>
                  <w:textInput/>
                </w:ffData>
              </w:fldChar>
            </w:r>
            <w:bookmarkStart w:id="1" w:name="Text1"/>
            <w:r w:rsidRPr="007934DF">
              <w:rPr>
                <w:rFonts w:eastAsia="Times New Roman" w:cs="Open Sans"/>
                <w:b/>
                <w:highlight w:val="yellow"/>
                <w:lang w:val="cs-CZ" w:eastAsia="cs-CZ"/>
              </w:rPr>
              <w:instrText xml:space="preserve"> FORMTEXT </w:instrText>
            </w:r>
            <w:r w:rsidRPr="007934DF">
              <w:rPr>
                <w:rFonts w:eastAsia="Times New Roman" w:cs="Open Sans"/>
                <w:b/>
                <w:highlight w:val="yellow"/>
                <w:lang w:val="cs-CZ" w:eastAsia="cs-CZ"/>
              </w:rPr>
            </w:r>
            <w:r w:rsidRPr="007934DF">
              <w:rPr>
                <w:rFonts w:eastAsia="Times New Roman" w:cs="Open Sans"/>
                <w:b/>
                <w:highlight w:val="yellow"/>
                <w:lang w:val="cs-CZ" w:eastAsia="cs-CZ"/>
              </w:rPr>
              <w:fldChar w:fldCharType="separate"/>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highlight w:val="yellow"/>
                <w:lang w:val="cs-CZ" w:eastAsia="cs-CZ"/>
              </w:rPr>
              <w:fldChar w:fldCharType="end"/>
            </w:r>
            <w:bookmarkEnd w:id="1"/>
          </w:p>
        </w:tc>
      </w:tr>
      <w:tr w:rsidR="007934DF" w:rsidRPr="007934DF" w14:paraId="0F4BB3D3" w14:textId="77777777" w:rsidTr="007934DF">
        <w:trPr>
          <w:trHeight w:val="284"/>
        </w:trPr>
        <w:tc>
          <w:tcPr>
            <w:tcW w:w="4328" w:type="dxa"/>
            <w:vAlign w:val="center"/>
            <w:hideMark/>
          </w:tcPr>
          <w:p w14:paraId="6B1422DA"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IČO</w:t>
            </w:r>
          </w:p>
        </w:tc>
        <w:tc>
          <w:tcPr>
            <w:tcW w:w="4744" w:type="dxa"/>
            <w:vAlign w:val="center"/>
          </w:tcPr>
          <w:p w14:paraId="7E8A00C0" w14:textId="77777777" w:rsidR="007934DF" w:rsidRPr="007934DF" w:rsidRDefault="007934DF" w:rsidP="007934DF">
            <w:pPr>
              <w:spacing w:after="0"/>
              <w:rPr>
                <w:rFonts w:eastAsia="Times New Roman" w:cs="Open Sans"/>
                <w:highlight w:val="yellow"/>
                <w:lang w:val="cs-CZ" w:eastAsia="cs-CZ"/>
              </w:rPr>
            </w:pPr>
            <w:r w:rsidRPr="007934DF">
              <w:rPr>
                <w:rFonts w:eastAsia="Times New Roman" w:cs="Open Sans"/>
                <w:highlight w:val="yellow"/>
                <w:lang w:val="cs-CZ" w:eastAsia="cs-CZ"/>
              </w:rPr>
              <w:fldChar w:fldCharType="begin">
                <w:ffData>
                  <w:name w:val="Text2"/>
                  <w:enabled/>
                  <w:calcOnExit w:val="0"/>
                  <w:textInput/>
                </w:ffData>
              </w:fldChar>
            </w:r>
            <w:bookmarkStart w:id="2" w:name="Text2"/>
            <w:r w:rsidRPr="007934DF">
              <w:rPr>
                <w:rFonts w:eastAsia="Times New Roman" w:cs="Open Sans"/>
                <w:highlight w:val="yellow"/>
                <w:lang w:val="cs-CZ" w:eastAsia="cs-CZ"/>
              </w:rPr>
              <w:instrText xml:space="preserve"> FORMTEXT </w:instrText>
            </w:r>
            <w:r w:rsidRPr="007934DF">
              <w:rPr>
                <w:rFonts w:eastAsia="Times New Roman" w:cs="Open Sans"/>
                <w:highlight w:val="yellow"/>
                <w:lang w:val="cs-CZ" w:eastAsia="cs-CZ"/>
              </w:rPr>
            </w:r>
            <w:r w:rsidRPr="007934DF">
              <w:rPr>
                <w:rFonts w:eastAsia="Times New Roman" w:cs="Open Sans"/>
                <w:highlight w:val="yellow"/>
                <w:lang w:val="cs-CZ" w:eastAsia="cs-CZ"/>
              </w:rPr>
              <w:fldChar w:fldCharType="separate"/>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highlight w:val="yellow"/>
                <w:lang w:val="cs-CZ" w:eastAsia="cs-CZ"/>
              </w:rPr>
              <w:fldChar w:fldCharType="end"/>
            </w:r>
            <w:bookmarkEnd w:id="2"/>
          </w:p>
        </w:tc>
      </w:tr>
      <w:tr w:rsidR="007934DF" w:rsidRPr="007934DF" w14:paraId="3D8D5230" w14:textId="77777777" w:rsidTr="007934DF">
        <w:trPr>
          <w:trHeight w:val="284"/>
        </w:trPr>
        <w:tc>
          <w:tcPr>
            <w:tcW w:w="4328" w:type="dxa"/>
            <w:vAlign w:val="center"/>
          </w:tcPr>
          <w:p w14:paraId="663E52AF"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DIČ</w:t>
            </w:r>
          </w:p>
        </w:tc>
        <w:tc>
          <w:tcPr>
            <w:tcW w:w="4744" w:type="dxa"/>
            <w:vAlign w:val="center"/>
          </w:tcPr>
          <w:p w14:paraId="7FF6E3C7" w14:textId="77777777" w:rsidR="007934DF" w:rsidRPr="007934DF" w:rsidRDefault="007934DF" w:rsidP="007934DF">
            <w:pPr>
              <w:spacing w:after="0"/>
              <w:rPr>
                <w:rFonts w:eastAsia="Times New Roman" w:cs="Open Sans"/>
                <w:bCs/>
                <w:highlight w:val="yellow"/>
                <w:lang w:val="cs-CZ" w:eastAsia="cs-CZ"/>
              </w:rPr>
            </w:pPr>
            <w:r w:rsidRPr="007934DF">
              <w:rPr>
                <w:rFonts w:eastAsia="Times New Roman" w:cs="Open Sans"/>
                <w:b/>
                <w:highlight w:val="yellow"/>
                <w:lang w:val="cs-CZ" w:eastAsia="cs-CZ"/>
              </w:rPr>
              <w:fldChar w:fldCharType="begin">
                <w:ffData>
                  <w:name w:val="Text3"/>
                  <w:enabled/>
                  <w:calcOnExit w:val="0"/>
                  <w:textInput/>
                </w:ffData>
              </w:fldChar>
            </w:r>
            <w:bookmarkStart w:id="3" w:name="Text3"/>
            <w:r w:rsidRPr="007934DF">
              <w:rPr>
                <w:rFonts w:eastAsia="Times New Roman" w:cs="Open Sans"/>
                <w:b/>
                <w:highlight w:val="yellow"/>
                <w:lang w:val="cs-CZ" w:eastAsia="cs-CZ"/>
              </w:rPr>
              <w:instrText xml:space="preserve"> FORMTEXT </w:instrText>
            </w:r>
            <w:r w:rsidRPr="007934DF">
              <w:rPr>
                <w:rFonts w:eastAsia="Times New Roman" w:cs="Open Sans"/>
                <w:b/>
                <w:highlight w:val="yellow"/>
                <w:lang w:val="cs-CZ" w:eastAsia="cs-CZ"/>
              </w:rPr>
            </w:r>
            <w:r w:rsidRPr="007934DF">
              <w:rPr>
                <w:rFonts w:eastAsia="Times New Roman" w:cs="Open Sans"/>
                <w:b/>
                <w:highlight w:val="yellow"/>
                <w:lang w:val="cs-CZ" w:eastAsia="cs-CZ"/>
              </w:rPr>
              <w:fldChar w:fldCharType="separate"/>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highlight w:val="yellow"/>
                <w:lang w:val="cs-CZ" w:eastAsia="cs-CZ"/>
              </w:rPr>
              <w:fldChar w:fldCharType="end"/>
            </w:r>
            <w:bookmarkEnd w:id="3"/>
          </w:p>
        </w:tc>
      </w:tr>
      <w:tr w:rsidR="007934DF" w:rsidRPr="007934DF" w14:paraId="5FE2A4A4" w14:textId="77777777" w:rsidTr="007934DF">
        <w:trPr>
          <w:trHeight w:val="284"/>
        </w:trPr>
        <w:tc>
          <w:tcPr>
            <w:tcW w:w="4328" w:type="dxa"/>
            <w:vAlign w:val="center"/>
            <w:hideMark/>
          </w:tcPr>
          <w:p w14:paraId="7196CFE1"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Adresa sídla</w:t>
            </w:r>
          </w:p>
        </w:tc>
        <w:tc>
          <w:tcPr>
            <w:tcW w:w="4744" w:type="dxa"/>
            <w:vAlign w:val="center"/>
            <w:hideMark/>
          </w:tcPr>
          <w:p w14:paraId="41B1DFC7" w14:textId="77777777" w:rsidR="007934DF" w:rsidRPr="007934DF" w:rsidRDefault="007934DF" w:rsidP="007934DF">
            <w:pPr>
              <w:spacing w:after="0"/>
              <w:rPr>
                <w:rFonts w:eastAsia="Times New Roman" w:cs="Open Sans"/>
                <w:highlight w:val="yellow"/>
                <w:lang w:val="cs-CZ" w:eastAsia="cs-CZ"/>
              </w:rPr>
            </w:pPr>
            <w:r w:rsidRPr="007934DF">
              <w:rPr>
                <w:rFonts w:eastAsia="Times New Roman" w:cs="Open Sans"/>
                <w:b/>
                <w:highlight w:val="yellow"/>
                <w:lang w:val="cs-CZ" w:eastAsia="cs-CZ"/>
              </w:rPr>
              <w:fldChar w:fldCharType="begin">
                <w:ffData>
                  <w:name w:val="Text4"/>
                  <w:enabled/>
                  <w:calcOnExit w:val="0"/>
                  <w:textInput/>
                </w:ffData>
              </w:fldChar>
            </w:r>
            <w:bookmarkStart w:id="4" w:name="Text4"/>
            <w:r w:rsidRPr="007934DF">
              <w:rPr>
                <w:rFonts w:eastAsia="Times New Roman" w:cs="Open Sans"/>
                <w:b/>
                <w:highlight w:val="yellow"/>
                <w:lang w:val="cs-CZ" w:eastAsia="cs-CZ"/>
              </w:rPr>
              <w:instrText xml:space="preserve"> FORMTEXT </w:instrText>
            </w:r>
            <w:r w:rsidRPr="007934DF">
              <w:rPr>
                <w:rFonts w:eastAsia="Times New Roman" w:cs="Open Sans"/>
                <w:b/>
                <w:highlight w:val="yellow"/>
                <w:lang w:val="cs-CZ" w:eastAsia="cs-CZ"/>
              </w:rPr>
            </w:r>
            <w:r w:rsidRPr="007934DF">
              <w:rPr>
                <w:rFonts w:eastAsia="Times New Roman" w:cs="Open Sans"/>
                <w:b/>
                <w:highlight w:val="yellow"/>
                <w:lang w:val="cs-CZ" w:eastAsia="cs-CZ"/>
              </w:rPr>
              <w:fldChar w:fldCharType="separate"/>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highlight w:val="yellow"/>
                <w:lang w:val="cs-CZ" w:eastAsia="cs-CZ"/>
              </w:rPr>
              <w:fldChar w:fldCharType="end"/>
            </w:r>
            <w:bookmarkEnd w:id="4"/>
          </w:p>
        </w:tc>
      </w:tr>
      <w:tr w:rsidR="007934DF" w:rsidRPr="007934DF" w14:paraId="71B75AE0" w14:textId="77777777" w:rsidTr="007934DF">
        <w:trPr>
          <w:trHeight w:val="284"/>
        </w:trPr>
        <w:tc>
          <w:tcPr>
            <w:tcW w:w="4328" w:type="dxa"/>
            <w:vAlign w:val="center"/>
            <w:hideMark/>
          </w:tcPr>
          <w:p w14:paraId="14D30F22"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Právní forma</w:t>
            </w:r>
          </w:p>
        </w:tc>
        <w:tc>
          <w:tcPr>
            <w:tcW w:w="4744" w:type="dxa"/>
            <w:vAlign w:val="center"/>
            <w:hideMark/>
          </w:tcPr>
          <w:p w14:paraId="7FF83FDF" w14:textId="77777777" w:rsidR="007934DF" w:rsidRPr="007934DF" w:rsidRDefault="007934DF" w:rsidP="007934DF">
            <w:pPr>
              <w:spacing w:after="0"/>
              <w:rPr>
                <w:rFonts w:eastAsia="Times New Roman" w:cs="Open Sans"/>
                <w:bCs/>
                <w:highlight w:val="yellow"/>
                <w:lang w:val="cs-CZ" w:eastAsia="cs-CZ"/>
              </w:rPr>
            </w:pPr>
            <w:r w:rsidRPr="007934DF">
              <w:rPr>
                <w:rFonts w:eastAsia="Times New Roman" w:cs="Open Sans"/>
                <w:b/>
                <w:highlight w:val="yellow"/>
                <w:lang w:val="cs-CZ" w:eastAsia="cs-CZ"/>
              </w:rPr>
              <w:fldChar w:fldCharType="begin">
                <w:ffData>
                  <w:name w:val="Text5"/>
                  <w:enabled/>
                  <w:calcOnExit w:val="0"/>
                  <w:textInput/>
                </w:ffData>
              </w:fldChar>
            </w:r>
            <w:bookmarkStart w:id="5" w:name="Text5"/>
            <w:r w:rsidRPr="007934DF">
              <w:rPr>
                <w:rFonts w:eastAsia="Times New Roman" w:cs="Open Sans"/>
                <w:b/>
                <w:highlight w:val="yellow"/>
                <w:lang w:val="cs-CZ" w:eastAsia="cs-CZ"/>
              </w:rPr>
              <w:instrText xml:space="preserve"> FORMTEXT </w:instrText>
            </w:r>
            <w:r w:rsidRPr="007934DF">
              <w:rPr>
                <w:rFonts w:eastAsia="Times New Roman" w:cs="Open Sans"/>
                <w:b/>
                <w:highlight w:val="yellow"/>
                <w:lang w:val="cs-CZ" w:eastAsia="cs-CZ"/>
              </w:rPr>
            </w:r>
            <w:r w:rsidRPr="007934DF">
              <w:rPr>
                <w:rFonts w:eastAsia="Times New Roman" w:cs="Open Sans"/>
                <w:b/>
                <w:highlight w:val="yellow"/>
                <w:lang w:val="cs-CZ" w:eastAsia="cs-CZ"/>
              </w:rPr>
              <w:fldChar w:fldCharType="separate"/>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highlight w:val="yellow"/>
                <w:lang w:val="cs-CZ" w:eastAsia="cs-CZ"/>
              </w:rPr>
              <w:fldChar w:fldCharType="end"/>
            </w:r>
            <w:bookmarkEnd w:id="5"/>
          </w:p>
        </w:tc>
      </w:tr>
      <w:tr w:rsidR="007934DF" w:rsidRPr="007934DF" w14:paraId="7C958CCF" w14:textId="77777777" w:rsidTr="007934DF">
        <w:trPr>
          <w:trHeight w:val="284"/>
        </w:trPr>
        <w:tc>
          <w:tcPr>
            <w:tcW w:w="4328" w:type="dxa"/>
            <w:hideMark/>
          </w:tcPr>
          <w:p w14:paraId="22262FCC"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lastRenderedPageBreak/>
              <w:t>Osoba oprávněná jednat jménem objednatele</w:t>
            </w:r>
          </w:p>
        </w:tc>
        <w:tc>
          <w:tcPr>
            <w:tcW w:w="4744" w:type="dxa"/>
            <w:vAlign w:val="center"/>
          </w:tcPr>
          <w:p w14:paraId="2E0478A8" w14:textId="77777777" w:rsidR="007934DF" w:rsidRPr="007934DF" w:rsidRDefault="007934DF" w:rsidP="007934DF">
            <w:pPr>
              <w:spacing w:after="0"/>
              <w:rPr>
                <w:rFonts w:eastAsia="Times New Roman" w:cs="Open Sans"/>
                <w:highlight w:val="yellow"/>
                <w:lang w:val="cs-CZ" w:eastAsia="cs-CZ"/>
              </w:rPr>
            </w:pPr>
            <w:r w:rsidRPr="007934DF">
              <w:rPr>
                <w:rFonts w:eastAsia="Times New Roman" w:cs="Open Sans"/>
                <w:highlight w:val="yellow"/>
                <w:lang w:val="cs-CZ" w:eastAsia="cs-CZ"/>
              </w:rPr>
              <w:fldChar w:fldCharType="begin">
                <w:ffData>
                  <w:name w:val="Text6"/>
                  <w:enabled/>
                  <w:calcOnExit w:val="0"/>
                  <w:textInput/>
                </w:ffData>
              </w:fldChar>
            </w:r>
            <w:bookmarkStart w:id="6" w:name="Text6"/>
            <w:r w:rsidRPr="007934DF">
              <w:rPr>
                <w:rFonts w:eastAsia="Times New Roman" w:cs="Open Sans"/>
                <w:highlight w:val="yellow"/>
                <w:lang w:val="cs-CZ" w:eastAsia="cs-CZ"/>
              </w:rPr>
              <w:instrText xml:space="preserve"> FORMTEXT </w:instrText>
            </w:r>
            <w:r w:rsidRPr="007934DF">
              <w:rPr>
                <w:rFonts w:eastAsia="Times New Roman" w:cs="Open Sans"/>
                <w:highlight w:val="yellow"/>
                <w:lang w:val="cs-CZ" w:eastAsia="cs-CZ"/>
              </w:rPr>
            </w:r>
            <w:r w:rsidRPr="007934DF">
              <w:rPr>
                <w:rFonts w:eastAsia="Times New Roman" w:cs="Open Sans"/>
                <w:highlight w:val="yellow"/>
                <w:lang w:val="cs-CZ" w:eastAsia="cs-CZ"/>
              </w:rPr>
              <w:fldChar w:fldCharType="separate"/>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highlight w:val="yellow"/>
                <w:lang w:val="cs-CZ" w:eastAsia="cs-CZ"/>
              </w:rPr>
              <w:fldChar w:fldCharType="end"/>
            </w:r>
            <w:bookmarkEnd w:id="6"/>
          </w:p>
        </w:tc>
      </w:tr>
      <w:tr w:rsidR="007934DF" w:rsidRPr="007934DF" w14:paraId="742FECF5" w14:textId="77777777" w:rsidTr="007934DF">
        <w:trPr>
          <w:trHeight w:val="284"/>
        </w:trPr>
        <w:tc>
          <w:tcPr>
            <w:tcW w:w="4328" w:type="dxa"/>
          </w:tcPr>
          <w:p w14:paraId="1047E1DB"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Bankovní spojení</w:t>
            </w:r>
          </w:p>
        </w:tc>
        <w:tc>
          <w:tcPr>
            <w:tcW w:w="4744" w:type="dxa"/>
            <w:vAlign w:val="center"/>
          </w:tcPr>
          <w:p w14:paraId="30B03D64" w14:textId="77777777" w:rsidR="007934DF" w:rsidRPr="007934DF" w:rsidRDefault="007934DF" w:rsidP="007934DF">
            <w:pPr>
              <w:spacing w:after="0"/>
              <w:rPr>
                <w:rFonts w:eastAsia="Calibri" w:cs="Open Sans"/>
                <w:highlight w:val="yellow"/>
                <w:lang w:val="cs-CZ"/>
              </w:rPr>
            </w:pPr>
            <w:r w:rsidRPr="007934DF">
              <w:rPr>
                <w:rFonts w:eastAsia="Times New Roman" w:cs="Open Sans"/>
                <w:b/>
                <w:highlight w:val="yellow"/>
                <w:lang w:val="cs-CZ" w:eastAsia="cs-CZ"/>
              </w:rPr>
              <w:fldChar w:fldCharType="begin">
                <w:ffData>
                  <w:name w:val="Text7"/>
                  <w:enabled/>
                  <w:calcOnExit w:val="0"/>
                  <w:textInput/>
                </w:ffData>
              </w:fldChar>
            </w:r>
            <w:bookmarkStart w:id="7" w:name="Text7"/>
            <w:r w:rsidRPr="007934DF">
              <w:rPr>
                <w:rFonts w:eastAsia="Times New Roman" w:cs="Open Sans"/>
                <w:b/>
                <w:highlight w:val="yellow"/>
                <w:lang w:val="cs-CZ" w:eastAsia="cs-CZ"/>
              </w:rPr>
              <w:instrText xml:space="preserve"> FORMTEXT </w:instrText>
            </w:r>
            <w:r w:rsidRPr="007934DF">
              <w:rPr>
                <w:rFonts w:eastAsia="Times New Roman" w:cs="Open Sans"/>
                <w:b/>
                <w:highlight w:val="yellow"/>
                <w:lang w:val="cs-CZ" w:eastAsia="cs-CZ"/>
              </w:rPr>
            </w:r>
            <w:r w:rsidRPr="007934DF">
              <w:rPr>
                <w:rFonts w:eastAsia="Times New Roman" w:cs="Open Sans"/>
                <w:b/>
                <w:highlight w:val="yellow"/>
                <w:lang w:val="cs-CZ" w:eastAsia="cs-CZ"/>
              </w:rPr>
              <w:fldChar w:fldCharType="separate"/>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highlight w:val="yellow"/>
                <w:lang w:val="cs-CZ" w:eastAsia="cs-CZ"/>
              </w:rPr>
              <w:fldChar w:fldCharType="end"/>
            </w:r>
            <w:bookmarkEnd w:id="7"/>
          </w:p>
        </w:tc>
      </w:tr>
      <w:tr w:rsidR="007934DF" w:rsidRPr="007934DF" w14:paraId="4D7A8E1D" w14:textId="77777777" w:rsidTr="007934DF">
        <w:trPr>
          <w:trHeight w:val="284"/>
        </w:trPr>
        <w:tc>
          <w:tcPr>
            <w:tcW w:w="4328" w:type="dxa"/>
          </w:tcPr>
          <w:p w14:paraId="6DA265B7"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Číslo účtu</w:t>
            </w:r>
          </w:p>
        </w:tc>
        <w:tc>
          <w:tcPr>
            <w:tcW w:w="4744" w:type="dxa"/>
            <w:vAlign w:val="center"/>
          </w:tcPr>
          <w:p w14:paraId="0A252148" w14:textId="77777777" w:rsidR="007934DF" w:rsidRPr="007934DF" w:rsidRDefault="007934DF" w:rsidP="007934DF">
            <w:pPr>
              <w:spacing w:after="0"/>
              <w:rPr>
                <w:rFonts w:eastAsia="Calibri" w:cs="Open Sans"/>
                <w:highlight w:val="yellow"/>
                <w:lang w:val="cs-CZ"/>
              </w:rPr>
            </w:pPr>
            <w:r w:rsidRPr="007934DF">
              <w:rPr>
                <w:rFonts w:eastAsia="Times New Roman" w:cs="Open Sans"/>
                <w:highlight w:val="yellow"/>
                <w:lang w:val="cs-CZ" w:eastAsia="cs-CZ"/>
              </w:rPr>
              <w:fldChar w:fldCharType="begin">
                <w:ffData>
                  <w:name w:val="Text8"/>
                  <w:enabled/>
                  <w:calcOnExit w:val="0"/>
                  <w:textInput/>
                </w:ffData>
              </w:fldChar>
            </w:r>
            <w:bookmarkStart w:id="8" w:name="Text8"/>
            <w:r w:rsidRPr="007934DF">
              <w:rPr>
                <w:rFonts w:eastAsia="Times New Roman" w:cs="Open Sans"/>
                <w:highlight w:val="yellow"/>
                <w:lang w:val="cs-CZ" w:eastAsia="cs-CZ"/>
              </w:rPr>
              <w:instrText xml:space="preserve"> FORMTEXT </w:instrText>
            </w:r>
            <w:r w:rsidRPr="007934DF">
              <w:rPr>
                <w:rFonts w:eastAsia="Times New Roman" w:cs="Open Sans"/>
                <w:highlight w:val="yellow"/>
                <w:lang w:val="cs-CZ" w:eastAsia="cs-CZ"/>
              </w:rPr>
            </w:r>
            <w:r w:rsidRPr="007934DF">
              <w:rPr>
                <w:rFonts w:eastAsia="Times New Roman" w:cs="Open Sans"/>
                <w:highlight w:val="yellow"/>
                <w:lang w:val="cs-CZ" w:eastAsia="cs-CZ"/>
              </w:rPr>
              <w:fldChar w:fldCharType="separate"/>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highlight w:val="yellow"/>
                <w:lang w:val="cs-CZ" w:eastAsia="cs-CZ"/>
              </w:rPr>
              <w:fldChar w:fldCharType="end"/>
            </w:r>
            <w:bookmarkEnd w:id="8"/>
          </w:p>
        </w:tc>
      </w:tr>
      <w:tr w:rsidR="007934DF" w:rsidRPr="007934DF" w14:paraId="0E67A590" w14:textId="77777777" w:rsidTr="007934DF">
        <w:trPr>
          <w:trHeight w:val="284"/>
        </w:trPr>
        <w:tc>
          <w:tcPr>
            <w:tcW w:w="4328" w:type="dxa"/>
          </w:tcPr>
          <w:p w14:paraId="71AAC8E5"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Kontaktní osoba ve věcech technických</w:t>
            </w:r>
          </w:p>
        </w:tc>
        <w:tc>
          <w:tcPr>
            <w:tcW w:w="4744" w:type="dxa"/>
            <w:vAlign w:val="center"/>
          </w:tcPr>
          <w:p w14:paraId="3FE9FBA4" w14:textId="77777777" w:rsidR="007934DF" w:rsidRPr="007934DF" w:rsidRDefault="007934DF" w:rsidP="007934DF">
            <w:pPr>
              <w:spacing w:after="0"/>
              <w:rPr>
                <w:rFonts w:eastAsia="Calibri" w:cs="Open Sans"/>
                <w:highlight w:val="yellow"/>
                <w:lang w:val="cs-CZ"/>
              </w:rPr>
            </w:pPr>
            <w:r w:rsidRPr="007934DF">
              <w:rPr>
                <w:rFonts w:eastAsia="Times New Roman" w:cs="Open Sans"/>
                <w:b/>
                <w:highlight w:val="yellow"/>
                <w:lang w:val="cs-CZ" w:eastAsia="cs-CZ"/>
              </w:rPr>
              <w:fldChar w:fldCharType="begin">
                <w:ffData>
                  <w:name w:val="Text9"/>
                  <w:enabled/>
                  <w:calcOnExit w:val="0"/>
                  <w:textInput/>
                </w:ffData>
              </w:fldChar>
            </w:r>
            <w:bookmarkStart w:id="9" w:name="Text9"/>
            <w:r w:rsidRPr="007934DF">
              <w:rPr>
                <w:rFonts w:eastAsia="Times New Roman" w:cs="Open Sans"/>
                <w:b/>
                <w:highlight w:val="yellow"/>
                <w:lang w:val="cs-CZ" w:eastAsia="cs-CZ"/>
              </w:rPr>
              <w:instrText xml:space="preserve"> FORMTEXT </w:instrText>
            </w:r>
            <w:r w:rsidRPr="007934DF">
              <w:rPr>
                <w:rFonts w:eastAsia="Times New Roman" w:cs="Open Sans"/>
                <w:b/>
                <w:highlight w:val="yellow"/>
                <w:lang w:val="cs-CZ" w:eastAsia="cs-CZ"/>
              </w:rPr>
            </w:r>
            <w:r w:rsidRPr="007934DF">
              <w:rPr>
                <w:rFonts w:eastAsia="Times New Roman" w:cs="Open Sans"/>
                <w:b/>
                <w:highlight w:val="yellow"/>
                <w:lang w:val="cs-CZ" w:eastAsia="cs-CZ"/>
              </w:rPr>
              <w:fldChar w:fldCharType="separate"/>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highlight w:val="yellow"/>
                <w:lang w:val="cs-CZ" w:eastAsia="cs-CZ"/>
              </w:rPr>
              <w:fldChar w:fldCharType="end"/>
            </w:r>
            <w:bookmarkEnd w:id="9"/>
          </w:p>
        </w:tc>
      </w:tr>
      <w:tr w:rsidR="007934DF" w:rsidRPr="007934DF" w14:paraId="12F61A6E" w14:textId="77777777" w:rsidTr="007934DF">
        <w:trPr>
          <w:trHeight w:val="284"/>
        </w:trPr>
        <w:tc>
          <w:tcPr>
            <w:tcW w:w="4328" w:type="dxa"/>
          </w:tcPr>
          <w:p w14:paraId="394736C4"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Telefon</w:t>
            </w:r>
          </w:p>
        </w:tc>
        <w:tc>
          <w:tcPr>
            <w:tcW w:w="4744" w:type="dxa"/>
            <w:vAlign w:val="center"/>
          </w:tcPr>
          <w:p w14:paraId="7C0CD28B" w14:textId="77777777" w:rsidR="007934DF" w:rsidRPr="007934DF" w:rsidRDefault="007934DF" w:rsidP="007934DF">
            <w:pPr>
              <w:spacing w:after="0"/>
              <w:rPr>
                <w:rFonts w:eastAsia="Calibri" w:cs="Open Sans"/>
                <w:highlight w:val="yellow"/>
                <w:lang w:val="cs-CZ"/>
              </w:rPr>
            </w:pPr>
            <w:r w:rsidRPr="007934DF">
              <w:rPr>
                <w:rFonts w:eastAsia="Times New Roman" w:cs="Open Sans"/>
                <w:highlight w:val="yellow"/>
                <w:lang w:val="cs-CZ" w:eastAsia="cs-CZ"/>
              </w:rPr>
              <w:fldChar w:fldCharType="begin">
                <w:ffData>
                  <w:name w:val="Text10"/>
                  <w:enabled/>
                  <w:calcOnExit w:val="0"/>
                  <w:textInput/>
                </w:ffData>
              </w:fldChar>
            </w:r>
            <w:bookmarkStart w:id="10" w:name="Text10"/>
            <w:r w:rsidRPr="007934DF">
              <w:rPr>
                <w:rFonts w:eastAsia="Times New Roman" w:cs="Open Sans"/>
                <w:highlight w:val="yellow"/>
                <w:lang w:val="cs-CZ" w:eastAsia="cs-CZ"/>
              </w:rPr>
              <w:instrText xml:space="preserve"> FORMTEXT </w:instrText>
            </w:r>
            <w:r w:rsidRPr="007934DF">
              <w:rPr>
                <w:rFonts w:eastAsia="Times New Roman" w:cs="Open Sans"/>
                <w:highlight w:val="yellow"/>
                <w:lang w:val="cs-CZ" w:eastAsia="cs-CZ"/>
              </w:rPr>
            </w:r>
            <w:r w:rsidRPr="007934DF">
              <w:rPr>
                <w:rFonts w:eastAsia="Times New Roman" w:cs="Open Sans"/>
                <w:highlight w:val="yellow"/>
                <w:lang w:val="cs-CZ" w:eastAsia="cs-CZ"/>
              </w:rPr>
              <w:fldChar w:fldCharType="separate"/>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noProof/>
                <w:highlight w:val="yellow"/>
                <w:lang w:val="cs-CZ" w:eastAsia="cs-CZ"/>
              </w:rPr>
              <w:t> </w:t>
            </w:r>
            <w:r w:rsidRPr="007934DF">
              <w:rPr>
                <w:rFonts w:eastAsia="Times New Roman" w:cs="Open Sans"/>
                <w:highlight w:val="yellow"/>
                <w:lang w:val="cs-CZ" w:eastAsia="cs-CZ"/>
              </w:rPr>
              <w:fldChar w:fldCharType="end"/>
            </w:r>
            <w:bookmarkEnd w:id="10"/>
          </w:p>
        </w:tc>
      </w:tr>
      <w:tr w:rsidR="007934DF" w:rsidRPr="007934DF" w14:paraId="4F0FA552" w14:textId="77777777" w:rsidTr="007934DF">
        <w:trPr>
          <w:trHeight w:val="284"/>
        </w:trPr>
        <w:tc>
          <w:tcPr>
            <w:tcW w:w="4328" w:type="dxa"/>
          </w:tcPr>
          <w:p w14:paraId="0660B239"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E-mail</w:t>
            </w:r>
          </w:p>
        </w:tc>
        <w:tc>
          <w:tcPr>
            <w:tcW w:w="4744" w:type="dxa"/>
            <w:vAlign w:val="center"/>
          </w:tcPr>
          <w:p w14:paraId="46A1FA64" w14:textId="77777777" w:rsidR="007934DF" w:rsidRPr="007934DF" w:rsidRDefault="007934DF" w:rsidP="007934DF">
            <w:pPr>
              <w:spacing w:after="0"/>
              <w:rPr>
                <w:rFonts w:eastAsia="Calibri" w:cs="Open Sans"/>
                <w:highlight w:val="yellow"/>
                <w:lang w:val="cs-CZ"/>
              </w:rPr>
            </w:pPr>
            <w:r w:rsidRPr="007934DF">
              <w:rPr>
                <w:rFonts w:eastAsia="Times New Roman" w:cs="Open Sans"/>
                <w:b/>
                <w:highlight w:val="yellow"/>
                <w:lang w:val="cs-CZ" w:eastAsia="cs-CZ"/>
              </w:rPr>
              <w:fldChar w:fldCharType="begin">
                <w:ffData>
                  <w:name w:val="Text11"/>
                  <w:enabled/>
                  <w:calcOnExit w:val="0"/>
                  <w:textInput/>
                </w:ffData>
              </w:fldChar>
            </w:r>
            <w:bookmarkStart w:id="11" w:name="Text11"/>
            <w:r w:rsidRPr="007934DF">
              <w:rPr>
                <w:rFonts w:eastAsia="Times New Roman" w:cs="Open Sans"/>
                <w:b/>
                <w:highlight w:val="yellow"/>
                <w:lang w:val="cs-CZ" w:eastAsia="cs-CZ"/>
              </w:rPr>
              <w:instrText xml:space="preserve"> FORMTEXT </w:instrText>
            </w:r>
            <w:r w:rsidRPr="007934DF">
              <w:rPr>
                <w:rFonts w:eastAsia="Times New Roman" w:cs="Open Sans"/>
                <w:b/>
                <w:highlight w:val="yellow"/>
                <w:lang w:val="cs-CZ" w:eastAsia="cs-CZ"/>
              </w:rPr>
            </w:r>
            <w:r w:rsidRPr="007934DF">
              <w:rPr>
                <w:rFonts w:eastAsia="Times New Roman" w:cs="Open Sans"/>
                <w:b/>
                <w:highlight w:val="yellow"/>
                <w:lang w:val="cs-CZ" w:eastAsia="cs-CZ"/>
              </w:rPr>
              <w:fldChar w:fldCharType="separate"/>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highlight w:val="yellow"/>
                <w:lang w:val="cs-CZ" w:eastAsia="cs-CZ"/>
              </w:rPr>
              <w:fldChar w:fldCharType="end"/>
            </w:r>
            <w:bookmarkEnd w:id="11"/>
          </w:p>
        </w:tc>
      </w:tr>
      <w:tr w:rsidR="007934DF" w:rsidRPr="007934DF" w14:paraId="3EFA34BC" w14:textId="77777777" w:rsidTr="007934DF">
        <w:trPr>
          <w:trHeight w:val="284"/>
        </w:trPr>
        <w:tc>
          <w:tcPr>
            <w:tcW w:w="4328" w:type="dxa"/>
          </w:tcPr>
          <w:p w14:paraId="26461036" w14:textId="77777777" w:rsidR="007934DF" w:rsidRPr="007934DF" w:rsidRDefault="007934DF" w:rsidP="007934DF">
            <w:pPr>
              <w:spacing w:after="0"/>
              <w:rPr>
                <w:rFonts w:eastAsia="Times New Roman" w:cs="Open Sans"/>
                <w:lang w:val="cs-CZ" w:eastAsia="cs-CZ"/>
              </w:rPr>
            </w:pPr>
            <w:r w:rsidRPr="007934DF">
              <w:rPr>
                <w:rFonts w:eastAsia="Times New Roman" w:cs="Open Sans"/>
                <w:lang w:val="cs-CZ" w:eastAsia="cs-CZ"/>
              </w:rPr>
              <w:t>ID datové schránky:</w:t>
            </w:r>
          </w:p>
        </w:tc>
        <w:tc>
          <w:tcPr>
            <w:tcW w:w="4744" w:type="dxa"/>
            <w:vAlign w:val="center"/>
          </w:tcPr>
          <w:p w14:paraId="68E89DCA" w14:textId="77777777" w:rsidR="007934DF" w:rsidRPr="007934DF" w:rsidRDefault="007934DF" w:rsidP="007934DF">
            <w:pPr>
              <w:spacing w:after="0"/>
              <w:rPr>
                <w:rFonts w:eastAsia="Times New Roman" w:cs="Open Sans"/>
                <w:b/>
                <w:highlight w:val="yellow"/>
                <w:lang w:val="cs-CZ" w:eastAsia="cs-CZ"/>
              </w:rPr>
            </w:pPr>
            <w:r w:rsidRPr="007934DF">
              <w:rPr>
                <w:rFonts w:eastAsia="Times New Roman" w:cs="Open Sans"/>
                <w:b/>
                <w:highlight w:val="yellow"/>
                <w:lang w:val="cs-CZ" w:eastAsia="cs-CZ"/>
              </w:rPr>
              <w:fldChar w:fldCharType="begin">
                <w:ffData>
                  <w:name w:val="Text12"/>
                  <w:enabled/>
                  <w:calcOnExit w:val="0"/>
                  <w:textInput/>
                </w:ffData>
              </w:fldChar>
            </w:r>
            <w:bookmarkStart w:id="12" w:name="Text12"/>
            <w:r w:rsidRPr="007934DF">
              <w:rPr>
                <w:rFonts w:eastAsia="Times New Roman" w:cs="Open Sans"/>
                <w:b/>
                <w:highlight w:val="yellow"/>
                <w:lang w:val="cs-CZ" w:eastAsia="cs-CZ"/>
              </w:rPr>
              <w:instrText xml:space="preserve"> FORMTEXT </w:instrText>
            </w:r>
            <w:r w:rsidRPr="007934DF">
              <w:rPr>
                <w:rFonts w:eastAsia="Times New Roman" w:cs="Open Sans"/>
                <w:b/>
                <w:highlight w:val="yellow"/>
                <w:lang w:val="cs-CZ" w:eastAsia="cs-CZ"/>
              </w:rPr>
            </w:r>
            <w:r w:rsidRPr="007934DF">
              <w:rPr>
                <w:rFonts w:eastAsia="Times New Roman" w:cs="Open Sans"/>
                <w:b/>
                <w:highlight w:val="yellow"/>
                <w:lang w:val="cs-CZ" w:eastAsia="cs-CZ"/>
              </w:rPr>
              <w:fldChar w:fldCharType="separate"/>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noProof/>
                <w:highlight w:val="yellow"/>
                <w:lang w:val="cs-CZ" w:eastAsia="cs-CZ"/>
              </w:rPr>
              <w:t> </w:t>
            </w:r>
            <w:r w:rsidRPr="007934DF">
              <w:rPr>
                <w:rFonts w:eastAsia="Times New Roman" w:cs="Open Sans"/>
                <w:b/>
                <w:highlight w:val="yellow"/>
                <w:lang w:val="cs-CZ" w:eastAsia="cs-CZ"/>
              </w:rPr>
              <w:fldChar w:fldCharType="end"/>
            </w:r>
            <w:bookmarkEnd w:id="12"/>
          </w:p>
        </w:tc>
      </w:tr>
    </w:tbl>
    <w:p w14:paraId="1FC5EEC9" w14:textId="77777777" w:rsidR="007934DF" w:rsidRPr="007934DF" w:rsidRDefault="007934DF" w:rsidP="007934DF">
      <w:pPr>
        <w:spacing w:before="120"/>
        <w:rPr>
          <w:rFonts w:eastAsia="Calibri" w:cs="Open Sans"/>
          <w:i/>
          <w:lang w:val="cs-CZ"/>
        </w:rPr>
      </w:pPr>
      <w:r w:rsidRPr="007934DF">
        <w:rPr>
          <w:rFonts w:eastAsia="Calibri" w:cs="Open Sans"/>
          <w:i/>
          <w:lang w:val="cs-CZ"/>
        </w:rPr>
        <w:t>dále jen „Dodavatel“ – na straně druhé</w:t>
      </w:r>
    </w:p>
    <w:p w14:paraId="07664A5F" w14:textId="77777777" w:rsidR="007934DF" w:rsidRPr="007934DF" w:rsidRDefault="007934DF" w:rsidP="007934DF">
      <w:pPr>
        <w:keepNext/>
        <w:keepLines/>
        <w:spacing w:before="120"/>
        <w:ind w:left="567" w:hanging="567"/>
        <w:outlineLvl w:val="0"/>
        <w:rPr>
          <w:rFonts w:eastAsia="Times New Roman" w:cs="Open Sans"/>
          <w:lang w:val="cs-CZ"/>
        </w:rPr>
      </w:pPr>
      <w:r w:rsidRPr="007934DF">
        <w:rPr>
          <w:rFonts w:eastAsia="Times New Roman" w:cs="Open Sans"/>
          <w:lang w:val="cs-CZ"/>
        </w:rPr>
        <w:t>uzavřeli níže uvedeného dne a roku tuto smlouvu („</w:t>
      </w:r>
      <w:r w:rsidRPr="007934DF">
        <w:rPr>
          <w:rFonts w:eastAsia="Times New Roman" w:cs="Open Sans"/>
          <w:b/>
          <w:bCs/>
          <w:lang w:val="cs-CZ"/>
        </w:rPr>
        <w:t>smlouva</w:t>
      </w:r>
      <w:r w:rsidRPr="007934DF">
        <w:rPr>
          <w:rFonts w:eastAsia="Times New Roman" w:cs="Open Sans"/>
          <w:lang w:val="cs-CZ"/>
        </w:rPr>
        <w:t>“).</w:t>
      </w:r>
    </w:p>
    <w:p w14:paraId="7A3FDE92" w14:textId="77777777" w:rsidR="007934DF" w:rsidRPr="007934DF" w:rsidRDefault="007934DF" w:rsidP="007934DF">
      <w:pPr>
        <w:spacing w:after="0"/>
        <w:rPr>
          <w:rFonts w:eastAsia="Calibri" w:cs="Open Sans"/>
          <w:lang w:val="cs-CZ"/>
        </w:rPr>
      </w:pPr>
      <w:r w:rsidRPr="007934DF">
        <w:rPr>
          <w:rFonts w:eastAsia="Calibri" w:cs="Open Sans"/>
          <w:lang w:val="cs-CZ"/>
        </w:rPr>
        <w:t>Objednatel a Dodavatel společně jen „</w:t>
      </w:r>
      <w:r w:rsidRPr="007934DF">
        <w:rPr>
          <w:rFonts w:eastAsia="Calibri" w:cs="Open Sans"/>
          <w:b/>
          <w:lang w:val="cs-CZ"/>
        </w:rPr>
        <w:t>smluvní strany</w:t>
      </w:r>
      <w:r w:rsidRPr="007934DF">
        <w:rPr>
          <w:rFonts w:eastAsia="Calibri" w:cs="Open Sans"/>
          <w:lang w:val="cs-CZ"/>
        </w:rPr>
        <w:t>“ nebo jednotlivě „</w:t>
      </w:r>
      <w:r w:rsidRPr="007934DF">
        <w:rPr>
          <w:rFonts w:eastAsia="Calibri" w:cs="Open Sans"/>
          <w:b/>
          <w:lang w:val="cs-CZ"/>
        </w:rPr>
        <w:t>smluvní strana</w:t>
      </w:r>
      <w:r w:rsidRPr="007934DF">
        <w:rPr>
          <w:rFonts w:eastAsia="Calibri" w:cs="Open Sans"/>
          <w:lang w:val="cs-CZ"/>
        </w:rPr>
        <w:t>“.</w:t>
      </w:r>
    </w:p>
    <w:p w14:paraId="76CC248D" w14:textId="48DA3EB6" w:rsidR="0069453D" w:rsidRDefault="0069453D" w:rsidP="00A95CA1">
      <w:pPr>
        <w:pStyle w:val="Nadpis1"/>
        <w:numPr>
          <w:ilvl w:val="0"/>
          <w:numId w:val="0"/>
        </w:numPr>
        <w:ind w:left="720"/>
        <w:jc w:val="both"/>
        <w:rPr>
          <w:lang w:val="cs-CZ"/>
        </w:rPr>
      </w:pPr>
    </w:p>
    <w:p w14:paraId="5245B561" w14:textId="28D35C3D" w:rsidR="00934CDD" w:rsidRDefault="00934CDD" w:rsidP="00934CDD">
      <w:pPr>
        <w:pStyle w:val="Nadpis2"/>
        <w:rPr>
          <w:lang w:val="cs-CZ"/>
        </w:rPr>
      </w:pPr>
      <w:r>
        <w:rPr>
          <w:lang w:val="cs-CZ"/>
        </w:rPr>
        <w:t>Preambule</w:t>
      </w:r>
    </w:p>
    <w:p w14:paraId="4F3DBEA9" w14:textId="77777777" w:rsidR="00762EEF" w:rsidRDefault="00762EEF" w:rsidP="00762EEF">
      <w:pPr>
        <w:pStyle w:val="Zkladntext"/>
        <w:tabs>
          <w:tab w:val="left" w:pos="1851"/>
          <w:tab w:val="left" w:pos="8333"/>
        </w:tabs>
        <w:spacing w:before="158" w:line="276" w:lineRule="auto"/>
        <w:ind w:left="140" w:right="289"/>
      </w:pPr>
      <w:r>
        <w:t>Smlouva</w:t>
      </w:r>
      <w:r>
        <w:rPr>
          <w:spacing w:val="40"/>
        </w:rPr>
        <w:t xml:space="preserve"> </w:t>
      </w:r>
      <w:r>
        <w:t>je</w:t>
      </w:r>
      <w:r>
        <w:rPr>
          <w:spacing w:val="40"/>
        </w:rPr>
        <w:t xml:space="preserve"> </w:t>
      </w:r>
      <w:r>
        <w:t>uzavírána</w:t>
      </w:r>
      <w:r>
        <w:rPr>
          <w:spacing w:val="40"/>
        </w:rPr>
        <w:t xml:space="preserve"> </w:t>
      </w:r>
      <w:r>
        <w:t>mezi</w:t>
      </w:r>
      <w:r>
        <w:rPr>
          <w:spacing w:val="40"/>
        </w:rPr>
        <w:t xml:space="preserve"> </w:t>
      </w:r>
      <w:r>
        <w:t>Objednatelem</w:t>
      </w:r>
      <w:r>
        <w:rPr>
          <w:spacing w:val="40"/>
        </w:rPr>
        <w:t xml:space="preserve"> </w:t>
      </w:r>
      <w:r>
        <w:t>a</w:t>
      </w:r>
      <w:r>
        <w:rPr>
          <w:spacing w:val="38"/>
        </w:rPr>
        <w:t xml:space="preserve"> </w:t>
      </w:r>
      <w:r>
        <w:t>Poskytovatelem</w:t>
      </w:r>
      <w:r>
        <w:rPr>
          <w:spacing w:val="39"/>
        </w:rPr>
        <w:t xml:space="preserve"> </w:t>
      </w:r>
      <w:r>
        <w:t>na</w:t>
      </w:r>
      <w:r>
        <w:rPr>
          <w:spacing w:val="40"/>
        </w:rPr>
        <w:t xml:space="preserve"> </w:t>
      </w:r>
      <w:r>
        <w:t>základě</w:t>
      </w:r>
      <w:r>
        <w:rPr>
          <w:spacing w:val="39"/>
        </w:rPr>
        <w:t xml:space="preserve"> </w:t>
      </w:r>
      <w:r>
        <w:t>výsledků</w:t>
      </w:r>
      <w:r>
        <w:rPr>
          <w:spacing w:val="40"/>
        </w:rPr>
        <w:t xml:space="preserve"> </w:t>
      </w:r>
      <w:r>
        <w:t>zadávacího</w:t>
      </w:r>
      <w:r>
        <w:rPr>
          <w:spacing w:val="40"/>
        </w:rPr>
        <w:t xml:space="preserve"> </w:t>
      </w:r>
      <w:r>
        <w:t>řízení na veřejnou zakázku zadávanou v</w:t>
      </w:r>
      <w:r>
        <w:rPr>
          <w:spacing w:val="-2"/>
        </w:rPr>
        <w:t xml:space="preserve"> </w:t>
      </w:r>
      <w:r>
        <w:t>otevřeném nadlimitním řízení v souladu s ustanovením §</w:t>
      </w:r>
      <w:r>
        <w:rPr>
          <w:spacing w:val="-3"/>
        </w:rPr>
        <w:t xml:space="preserve"> </w:t>
      </w:r>
      <w:r>
        <w:t>56 zákona</w:t>
      </w:r>
      <w:r>
        <w:rPr>
          <w:spacing w:val="40"/>
        </w:rPr>
        <w:t xml:space="preserve"> </w:t>
      </w:r>
      <w:r>
        <w:t>č.</w:t>
      </w:r>
      <w:r>
        <w:rPr>
          <w:spacing w:val="-2"/>
        </w:rPr>
        <w:t xml:space="preserve"> </w:t>
      </w:r>
      <w:r>
        <w:t>134/2016 Sb., o zadávání veřejných zakázek, v platném znění (dále jen</w:t>
      </w:r>
      <w:r>
        <w:rPr>
          <w:spacing w:val="-5"/>
        </w:rPr>
        <w:t xml:space="preserve"> </w:t>
      </w:r>
      <w:r>
        <w:t>„</w:t>
      </w:r>
      <w:r>
        <w:rPr>
          <w:b/>
        </w:rPr>
        <w:t>Zákon o zadávání veřejných zakázek</w:t>
      </w:r>
      <w:r>
        <w:t>“) s</w:t>
      </w:r>
      <w:r>
        <w:rPr>
          <w:spacing w:val="-3"/>
        </w:rPr>
        <w:t xml:space="preserve"> </w:t>
      </w:r>
      <w:r>
        <w:t>názvem „</w:t>
      </w:r>
      <w:r>
        <w:rPr>
          <w:b/>
        </w:rPr>
        <w:t>Služby spojené s údržbou města Ostrov</w:t>
      </w:r>
      <w:r>
        <w:t>“ (ID veřejné zakázky na</w:t>
      </w:r>
      <w:r>
        <w:rPr>
          <w:spacing w:val="-1"/>
        </w:rPr>
        <w:t xml:space="preserve"> </w:t>
      </w:r>
      <w:r>
        <w:t xml:space="preserve">profilu </w:t>
      </w:r>
      <w:r>
        <w:rPr>
          <w:spacing w:val="-2"/>
        </w:rPr>
        <w:t>Objednatele:</w:t>
      </w:r>
      <w:r>
        <w:tab/>
        <w:t>,</w:t>
      </w:r>
      <w:r>
        <w:rPr>
          <w:spacing w:val="25"/>
        </w:rPr>
        <w:t xml:space="preserve"> </w:t>
      </w:r>
      <w:r>
        <w:t>Evidenční</w:t>
      </w:r>
      <w:r>
        <w:rPr>
          <w:spacing w:val="29"/>
        </w:rPr>
        <w:t xml:space="preserve"> </w:t>
      </w:r>
      <w:r>
        <w:t>číslo</w:t>
      </w:r>
      <w:r>
        <w:rPr>
          <w:spacing w:val="29"/>
        </w:rPr>
        <w:t xml:space="preserve"> </w:t>
      </w:r>
      <w:r>
        <w:t>veřejné</w:t>
      </w:r>
      <w:r>
        <w:rPr>
          <w:spacing w:val="27"/>
        </w:rPr>
        <w:t xml:space="preserve"> </w:t>
      </w:r>
      <w:r>
        <w:t>zakázky</w:t>
      </w:r>
      <w:r>
        <w:rPr>
          <w:spacing w:val="25"/>
        </w:rPr>
        <w:t xml:space="preserve"> </w:t>
      </w:r>
      <w:r>
        <w:t>ve</w:t>
      </w:r>
      <w:r>
        <w:rPr>
          <w:spacing w:val="31"/>
        </w:rPr>
        <w:t xml:space="preserve"> </w:t>
      </w:r>
      <w:r>
        <w:t>Věstníku</w:t>
      </w:r>
      <w:r>
        <w:rPr>
          <w:spacing w:val="26"/>
        </w:rPr>
        <w:t xml:space="preserve"> </w:t>
      </w:r>
      <w:r>
        <w:t>veřejných</w:t>
      </w:r>
      <w:r>
        <w:rPr>
          <w:spacing w:val="27"/>
        </w:rPr>
        <w:t xml:space="preserve"> </w:t>
      </w:r>
      <w:r>
        <w:rPr>
          <w:spacing w:val="-2"/>
        </w:rPr>
        <w:t>zakázek:</w:t>
      </w:r>
      <w:r>
        <w:tab/>
        <w:t>),</w:t>
      </w:r>
      <w:r>
        <w:rPr>
          <w:spacing w:val="29"/>
        </w:rPr>
        <w:t xml:space="preserve"> </w:t>
      </w:r>
      <w:r>
        <w:t>(dále</w:t>
      </w:r>
      <w:r>
        <w:rPr>
          <w:spacing w:val="30"/>
        </w:rPr>
        <w:t xml:space="preserve"> </w:t>
      </w:r>
      <w:r>
        <w:rPr>
          <w:spacing w:val="-5"/>
        </w:rPr>
        <w:t>jen</w:t>
      </w:r>
    </w:p>
    <w:p w14:paraId="0EC8272C" w14:textId="77777777" w:rsidR="00762EEF" w:rsidRDefault="00762EEF" w:rsidP="00762EEF">
      <w:pPr>
        <w:pStyle w:val="Zkladntext"/>
        <w:spacing w:before="1" w:line="276" w:lineRule="auto"/>
        <w:ind w:left="140" w:right="292"/>
      </w:pPr>
      <w:r>
        <w:t>„</w:t>
      </w:r>
      <w:r>
        <w:rPr>
          <w:b/>
        </w:rPr>
        <w:t>Veřejná zakázka</w:t>
      </w:r>
      <w:r>
        <w:t>“). Nabídka Poskytovatele podaná v rámci zadávacího řízení na Veřejnou zakázku (dále jen „</w:t>
      </w:r>
      <w:r>
        <w:rPr>
          <w:b/>
        </w:rPr>
        <w:t>Nabídka</w:t>
      </w:r>
      <w:r>
        <w:t>“), byla vyhodnocena jako nejvýhodnější.</w:t>
      </w:r>
    </w:p>
    <w:p w14:paraId="5F1FAFBB" w14:textId="77777777" w:rsidR="00A95CA1" w:rsidRDefault="00A95CA1" w:rsidP="00A95CA1">
      <w:pPr>
        <w:rPr>
          <w:lang w:val="cs-CZ"/>
        </w:rPr>
      </w:pPr>
    </w:p>
    <w:p w14:paraId="186FC932" w14:textId="5B5ECE5D" w:rsidR="00A95CA1" w:rsidRPr="000B4BC1" w:rsidRDefault="00A95CA1" w:rsidP="000B4BC1">
      <w:pPr>
        <w:jc w:val="center"/>
        <w:rPr>
          <w:b/>
          <w:bCs/>
          <w:lang w:val="cs-CZ"/>
        </w:rPr>
      </w:pPr>
      <w:r w:rsidRPr="000B4BC1">
        <w:rPr>
          <w:b/>
          <w:bCs/>
          <w:lang w:val="cs-CZ"/>
        </w:rPr>
        <w:t>Článek I.</w:t>
      </w:r>
    </w:p>
    <w:p w14:paraId="138631B3" w14:textId="77777777" w:rsidR="00A95CA1" w:rsidRPr="000B4BC1" w:rsidRDefault="00A95CA1" w:rsidP="000B4BC1">
      <w:pPr>
        <w:jc w:val="center"/>
        <w:rPr>
          <w:b/>
          <w:bCs/>
          <w:lang w:val="cs-CZ"/>
        </w:rPr>
      </w:pPr>
      <w:r w:rsidRPr="000B4BC1">
        <w:rPr>
          <w:b/>
          <w:bCs/>
          <w:lang w:val="cs-CZ"/>
        </w:rPr>
        <w:t>Účel a předmět Smlouvy</w:t>
      </w:r>
    </w:p>
    <w:p w14:paraId="1E2D4BCA" w14:textId="77777777" w:rsidR="00A95CA1" w:rsidRPr="00154400" w:rsidRDefault="00A95CA1" w:rsidP="00517A82">
      <w:pPr>
        <w:pStyle w:val="Odstavecseseznamem"/>
        <w:numPr>
          <w:ilvl w:val="0"/>
          <w:numId w:val="13"/>
        </w:numPr>
        <w:rPr>
          <w:lang w:val="cs-CZ"/>
        </w:rPr>
      </w:pPr>
      <w:r w:rsidRPr="00154400">
        <w:rPr>
          <w:lang w:val="cs-CZ"/>
        </w:rPr>
        <w:t>Předmětem Smlouvy je poskytnutí služeb a provádění komplexních prací při letním čištění a zimní údržbě místních komunikací, parkovišť a veřejných prostranství na území města Ostrova a v přilehlých místních částech Kfely, Hluboký, Dolní a Horní Žďár, Vykmanov, Maroltov, Květnová a Moříčov.</w:t>
      </w:r>
    </w:p>
    <w:p w14:paraId="4AC13ADB" w14:textId="77777777" w:rsidR="00A95CA1" w:rsidRPr="00154400" w:rsidRDefault="00A95CA1" w:rsidP="00517A82">
      <w:pPr>
        <w:pStyle w:val="Odstavecseseznamem"/>
        <w:numPr>
          <w:ilvl w:val="0"/>
          <w:numId w:val="13"/>
        </w:numPr>
        <w:rPr>
          <w:lang w:val="cs-CZ"/>
        </w:rPr>
      </w:pPr>
      <w:r w:rsidRPr="00154400">
        <w:rPr>
          <w:lang w:val="cs-CZ"/>
        </w:rPr>
        <w:t>Předmětem plnění jsou rovněž dodávky, o kterých Poskytovatel věděl, nebo podle svých odborných znalostí vědět měl, že jsou k řádnému a kvalitnímu provedení předmětu Smlouvy třeba. Předmět Smlouvy zahrnuje provedení, dodání a zajištění všech činností, služeb, věcí a dodávek, nutných k poskytování příslušných služeb.</w:t>
      </w:r>
    </w:p>
    <w:p w14:paraId="71FBBF6B" w14:textId="1B9FBCB9" w:rsidR="00A95CA1" w:rsidRPr="00154400" w:rsidRDefault="00A95CA1" w:rsidP="00517A82">
      <w:pPr>
        <w:pStyle w:val="Odstavecseseznamem"/>
        <w:numPr>
          <w:ilvl w:val="0"/>
          <w:numId w:val="13"/>
        </w:numPr>
        <w:rPr>
          <w:lang w:val="cs-CZ"/>
        </w:rPr>
      </w:pPr>
      <w:r w:rsidRPr="00154400">
        <w:rPr>
          <w:lang w:val="cs-CZ"/>
        </w:rPr>
        <w:lastRenderedPageBreak/>
        <w:t>Letním čištěním se rozumí: strojní a ruční čištění komunikací, veřejných prostranství a náměstí, schodišť a lávek, čištění autobusových zastávek. Zajišťování schůdnosti a sjízdnosti místních komunikací a práce s těmito úkony spojené a chemické ošetření zadlážděných ploch. Dále bude prováděno letní čištění a údržba úseků státních průjezdních komunikací v ul. Karlovarská, Jáchymovská, Nádražní a Hroznětínská.</w:t>
      </w:r>
    </w:p>
    <w:p w14:paraId="61EB603C" w14:textId="77777777" w:rsidR="00A95CA1" w:rsidRPr="00154400" w:rsidRDefault="00A95CA1" w:rsidP="00517A82">
      <w:pPr>
        <w:pStyle w:val="Odstavecseseznamem"/>
        <w:numPr>
          <w:ilvl w:val="0"/>
          <w:numId w:val="13"/>
        </w:numPr>
        <w:rPr>
          <w:lang w:val="cs-CZ"/>
        </w:rPr>
      </w:pPr>
      <w:r w:rsidRPr="00154400">
        <w:rPr>
          <w:lang w:val="cs-CZ"/>
        </w:rPr>
        <w:t>Zimní údržbou (dále jen „ZÚ“) se rozumí: zajištění sjízdnosti a schůdnosti místních komunikací, parkovišť, veřejných prostranství, autobusových zastávek, lávek a schodišť pluhováním, ručním dočištěním, odstraňováním sněhu a zdrsněním jejich povrchu posypem dle plánu zimní údržby místních komunikací. Rozsah ZÚ je zpracován v rozsahu požadavků dle mapového podkladu Objednatele a uveden v příloze č. 1 Smlouvy pod názvem „Plán zimní údržby místních komunikací“.</w:t>
      </w:r>
    </w:p>
    <w:p w14:paraId="1DD7BB16" w14:textId="77777777" w:rsidR="00A95CA1" w:rsidRPr="00154400" w:rsidRDefault="00A95CA1" w:rsidP="00517A82">
      <w:pPr>
        <w:pStyle w:val="Odstavecseseznamem"/>
        <w:numPr>
          <w:ilvl w:val="0"/>
          <w:numId w:val="13"/>
        </w:numPr>
        <w:rPr>
          <w:lang w:val="cs-CZ"/>
        </w:rPr>
      </w:pPr>
      <w:r w:rsidRPr="00154400">
        <w:rPr>
          <w:lang w:val="cs-CZ"/>
        </w:rPr>
        <w:t>Předmětem  Smlouvy  je  dále  závazek  Objednatele  zaplatit  Poskytovateli  za  řádně a včas poskytované služby cenu ve výši a za podmínek stanovených v článku III. Smlouvy.</w:t>
      </w:r>
    </w:p>
    <w:p w14:paraId="7830F3EF" w14:textId="77777777" w:rsidR="00A95CA1" w:rsidRPr="00154400" w:rsidRDefault="00A95CA1" w:rsidP="00517A82">
      <w:pPr>
        <w:pStyle w:val="Odstavecseseznamem"/>
        <w:numPr>
          <w:ilvl w:val="0"/>
          <w:numId w:val="13"/>
        </w:numPr>
        <w:rPr>
          <w:lang w:val="cs-CZ"/>
        </w:rPr>
      </w:pPr>
      <w:r w:rsidRPr="00154400">
        <w:rPr>
          <w:lang w:val="cs-CZ"/>
        </w:rPr>
        <w:t>Smluvní strany prohlašují, že předmět plnění dle Smlouvy není plněním nemožným, a že Smlouvu uzavřely po pečlivém zvážení všech možných důsledků.</w:t>
      </w:r>
    </w:p>
    <w:p w14:paraId="090B19D4" w14:textId="77777777" w:rsidR="00A95CA1" w:rsidRPr="00A95CA1" w:rsidRDefault="00A95CA1" w:rsidP="00A95CA1">
      <w:pPr>
        <w:rPr>
          <w:lang w:val="cs-CZ"/>
        </w:rPr>
      </w:pPr>
    </w:p>
    <w:p w14:paraId="09EA9331" w14:textId="77777777" w:rsidR="00A95CA1" w:rsidRPr="00A95CA1" w:rsidRDefault="00A95CA1" w:rsidP="00A95CA1">
      <w:pPr>
        <w:rPr>
          <w:lang w:val="cs-CZ"/>
        </w:rPr>
      </w:pPr>
    </w:p>
    <w:p w14:paraId="071D629F" w14:textId="77777777" w:rsidR="00A95CA1" w:rsidRPr="00DF673F" w:rsidRDefault="00A95CA1" w:rsidP="00DF673F">
      <w:pPr>
        <w:jc w:val="center"/>
        <w:rPr>
          <w:b/>
          <w:bCs/>
          <w:lang w:val="cs-CZ"/>
        </w:rPr>
      </w:pPr>
      <w:r w:rsidRPr="00DF673F">
        <w:rPr>
          <w:b/>
          <w:bCs/>
          <w:lang w:val="cs-CZ"/>
        </w:rPr>
        <w:t>Článek II.</w:t>
      </w:r>
    </w:p>
    <w:p w14:paraId="0D5D1A7F" w14:textId="77777777" w:rsidR="00A95CA1" w:rsidRPr="00DF673F" w:rsidRDefault="00A95CA1" w:rsidP="00DF673F">
      <w:pPr>
        <w:jc w:val="center"/>
        <w:rPr>
          <w:b/>
          <w:bCs/>
          <w:lang w:val="cs-CZ"/>
        </w:rPr>
      </w:pPr>
      <w:r w:rsidRPr="00DF673F">
        <w:rPr>
          <w:b/>
          <w:bCs/>
          <w:lang w:val="cs-CZ"/>
        </w:rPr>
        <w:t>Doba a místo poskytování služeb</w:t>
      </w:r>
    </w:p>
    <w:p w14:paraId="47CE3E79" w14:textId="47722804" w:rsidR="00A95CA1" w:rsidRPr="00DF673F" w:rsidRDefault="00A95CA1" w:rsidP="00517A82">
      <w:pPr>
        <w:pStyle w:val="Odstavecseseznamem"/>
        <w:numPr>
          <w:ilvl w:val="0"/>
          <w:numId w:val="14"/>
        </w:numPr>
        <w:rPr>
          <w:lang w:val="cs-CZ"/>
        </w:rPr>
      </w:pPr>
      <w:r w:rsidRPr="00DF673F">
        <w:rPr>
          <w:lang w:val="cs-CZ"/>
        </w:rPr>
        <w:t>Smlouva se sjednává na dobu určitou</w:t>
      </w:r>
      <w:r w:rsidR="00F86545">
        <w:rPr>
          <w:lang w:val="cs-CZ"/>
        </w:rPr>
        <w:t>.</w:t>
      </w:r>
      <w:r w:rsidR="00E24F0C">
        <w:rPr>
          <w:lang w:val="cs-CZ"/>
        </w:rPr>
        <w:t xml:space="preserve"> </w:t>
      </w:r>
    </w:p>
    <w:p w14:paraId="4E3F749C" w14:textId="564FE947" w:rsidR="00A95CA1" w:rsidRPr="00DF673F" w:rsidRDefault="00A95CA1" w:rsidP="00517A82">
      <w:pPr>
        <w:pStyle w:val="Odstavecseseznamem"/>
        <w:numPr>
          <w:ilvl w:val="0"/>
          <w:numId w:val="14"/>
        </w:numPr>
        <w:rPr>
          <w:lang w:val="cs-CZ"/>
        </w:rPr>
      </w:pPr>
      <w:r w:rsidRPr="00DF673F">
        <w:rPr>
          <w:lang w:val="cs-CZ"/>
        </w:rPr>
        <w:t>Zimní údržba bude Poskytovatelem prováděna od 1. 1. do 31. 3. a od 1. 11. do 31. 12. příslušného roku s tím, že pokud nebude ležet sníh a denní teploty budou nad bodem mrazu, bude Poskytovatel zajišťovat čištění v rozsahu stanoveného letního čištění a údržby.</w:t>
      </w:r>
    </w:p>
    <w:p w14:paraId="7369578A" w14:textId="77777777" w:rsidR="00A95CA1" w:rsidRPr="00DF673F" w:rsidRDefault="00A95CA1" w:rsidP="00517A82">
      <w:pPr>
        <w:pStyle w:val="Odstavecseseznamem"/>
        <w:numPr>
          <w:ilvl w:val="0"/>
          <w:numId w:val="14"/>
        </w:numPr>
        <w:rPr>
          <w:lang w:val="cs-CZ"/>
        </w:rPr>
      </w:pPr>
      <w:r w:rsidRPr="00DF673F">
        <w:rPr>
          <w:lang w:val="cs-CZ"/>
        </w:rPr>
        <w:t>V mimořádných případech, kdy vznikne zimní povětrnostní situace mimo období uvedené v odst. 2.2 tohoto článku, bude Poskytovatel zajišťovat závady ve schůdnosti a sjízdnosti bez zbytečných odkladů a přiměřeně vzniklé situaci.</w:t>
      </w:r>
    </w:p>
    <w:p w14:paraId="1E195939" w14:textId="77777777" w:rsidR="00A95CA1" w:rsidRPr="009F5C3C" w:rsidRDefault="00A95CA1" w:rsidP="00517A82">
      <w:pPr>
        <w:pStyle w:val="Odstavecseseznamem"/>
        <w:numPr>
          <w:ilvl w:val="0"/>
          <w:numId w:val="14"/>
        </w:numPr>
        <w:rPr>
          <w:lang w:val="cs-CZ"/>
        </w:rPr>
      </w:pPr>
      <w:r w:rsidRPr="009F5C3C">
        <w:rPr>
          <w:lang w:val="cs-CZ"/>
        </w:rPr>
        <w:t>Komunikace I. pořadí důležitosti dle plánu ZÚ budou Poskytovatelem vyčištěny od zimního posypového materiálu do 30. dubna, komunikace II. a III. pořadí důležitosti do 31. května běžného roku.</w:t>
      </w:r>
    </w:p>
    <w:p w14:paraId="4D80AA2F" w14:textId="77777777" w:rsidR="00A95CA1" w:rsidRPr="009F5C3C" w:rsidRDefault="00A95CA1" w:rsidP="00517A82">
      <w:pPr>
        <w:pStyle w:val="Odstavecseseznamem"/>
        <w:numPr>
          <w:ilvl w:val="0"/>
          <w:numId w:val="14"/>
        </w:numPr>
        <w:rPr>
          <w:lang w:val="cs-CZ"/>
        </w:rPr>
      </w:pPr>
      <w:r w:rsidRPr="009F5C3C">
        <w:rPr>
          <w:lang w:val="cs-CZ"/>
        </w:rPr>
        <w:t>Do 30. 11. běžného roku bude ze všech udržovaných místních komunikací včetně zastávek a veřejných prostranství odstraněno spadané listí.</w:t>
      </w:r>
    </w:p>
    <w:p w14:paraId="5C0DBC0B" w14:textId="77777777" w:rsidR="00A95CA1" w:rsidRPr="009F5C3C" w:rsidRDefault="00A95CA1" w:rsidP="00517A82">
      <w:pPr>
        <w:pStyle w:val="Odstavecseseznamem"/>
        <w:numPr>
          <w:ilvl w:val="0"/>
          <w:numId w:val="14"/>
        </w:numPr>
        <w:rPr>
          <w:lang w:val="cs-CZ"/>
        </w:rPr>
      </w:pPr>
      <w:r w:rsidRPr="009F5C3C">
        <w:rPr>
          <w:lang w:val="cs-CZ"/>
        </w:rPr>
        <w:t>Blokové čištění včetně zajištění dopravního značení bude Poskytovatelem prováděno v období od dubna do května běžného roku a dle požadavku Objednatele v 2. polovině roku v období od září do listopadu běžného roku.</w:t>
      </w:r>
    </w:p>
    <w:p w14:paraId="15F3CC36" w14:textId="77777777" w:rsidR="00A95CA1" w:rsidRPr="009F5C3C" w:rsidRDefault="00A95CA1" w:rsidP="00517A82">
      <w:pPr>
        <w:pStyle w:val="Odstavecseseznamem"/>
        <w:numPr>
          <w:ilvl w:val="0"/>
          <w:numId w:val="14"/>
        </w:numPr>
        <w:rPr>
          <w:lang w:val="cs-CZ"/>
        </w:rPr>
      </w:pPr>
      <w:r w:rsidRPr="009F5C3C">
        <w:rPr>
          <w:lang w:val="cs-CZ"/>
        </w:rPr>
        <w:t>Poskytovatel bude provádět chemické ošetření prorůstající trávy a mechu zadlážděnými plochami herbicidem včetně odstranění uhynulé travní hmoty (dále jen „chemické ošetření zadlážděných ploch“).</w:t>
      </w:r>
    </w:p>
    <w:p w14:paraId="44EE01C4" w14:textId="77777777" w:rsidR="00A95CA1" w:rsidRPr="009F5C3C" w:rsidRDefault="00A95CA1" w:rsidP="00517A82">
      <w:pPr>
        <w:pStyle w:val="Odstavecseseznamem"/>
        <w:numPr>
          <w:ilvl w:val="0"/>
          <w:numId w:val="14"/>
        </w:numPr>
        <w:rPr>
          <w:lang w:val="cs-CZ"/>
        </w:rPr>
      </w:pPr>
      <w:r w:rsidRPr="009F5C3C">
        <w:rPr>
          <w:lang w:val="cs-CZ"/>
        </w:rPr>
        <w:lastRenderedPageBreak/>
        <w:t>Skutečné zahájení jednotlivých služeb, včetně zahájení zimní pohotovosti a dispečerské služby, bude podle konkrétních klimatických podmínek, situace a stavu upřesněno po dohodě s Objednatelem.</w:t>
      </w:r>
    </w:p>
    <w:p w14:paraId="79C6A759" w14:textId="77777777" w:rsidR="00A95CA1" w:rsidRPr="009F5C3C" w:rsidRDefault="00A95CA1" w:rsidP="00517A82">
      <w:pPr>
        <w:pStyle w:val="Odstavecseseznamem"/>
        <w:numPr>
          <w:ilvl w:val="0"/>
          <w:numId w:val="14"/>
        </w:numPr>
        <w:rPr>
          <w:lang w:val="cs-CZ"/>
        </w:rPr>
      </w:pPr>
      <w:r w:rsidRPr="009F5C3C">
        <w:rPr>
          <w:lang w:val="cs-CZ"/>
        </w:rPr>
        <w:t>V případě potřeby upřesnění věcného rozsahu činností v závislosti na potřebách Objednatele a finančních možnostech Objednatele, bude ke Smlouvě schválen dodatek.</w:t>
      </w:r>
    </w:p>
    <w:p w14:paraId="550EF7CB" w14:textId="77777777" w:rsidR="00A95CA1" w:rsidRPr="00A95CA1" w:rsidRDefault="00A95CA1" w:rsidP="00A95CA1">
      <w:pPr>
        <w:rPr>
          <w:lang w:val="cs-CZ"/>
        </w:rPr>
      </w:pPr>
    </w:p>
    <w:p w14:paraId="3A450754" w14:textId="77777777" w:rsidR="00A95CA1" w:rsidRPr="00A95CA1" w:rsidRDefault="00A95CA1" w:rsidP="00A95CA1">
      <w:pPr>
        <w:rPr>
          <w:lang w:val="cs-CZ"/>
        </w:rPr>
      </w:pPr>
    </w:p>
    <w:p w14:paraId="05370087" w14:textId="77777777" w:rsidR="00A95CA1" w:rsidRPr="00F3491F" w:rsidRDefault="00A95CA1" w:rsidP="00F3491F">
      <w:pPr>
        <w:jc w:val="center"/>
        <w:rPr>
          <w:b/>
          <w:bCs/>
          <w:lang w:val="cs-CZ"/>
        </w:rPr>
      </w:pPr>
      <w:r w:rsidRPr="00F3491F">
        <w:rPr>
          <w:b/>
          <w:bCs/>
          <w:lang w:val="cs-CZ"/>
        </w:rPr>
        <w:t>Článek III.</w:t>
      </w:r>
    </w:p>
    <w:p w14:paraId="2A1BFACF" w14:textId="77777777" w:rsidR="00A95CA1" w:rsidRPr="00F3491F" w:rsidRDefault="00A95CA1" w:rsidP="00F3491F">
      <w:pPr>
        <w:jc w:val="center"/>
        <w:rPr>
          <w:b/>
          <w:bCs/>
          <w:lang w:val="cs-CZ"/>
        </w:rPr>
      </w:pPr>
      <w:r w:rsidRPr="00F3491F">
        <w:rPr>
          <w:b/>
          <w:bCs/>
          <w:lang w:val="cs-CZ"/>
        </w:rPr>
        <w:t>Cena služeb a platební podmínky</w:t>
      </w:r>
    </w:p>
    <w:p w14:paraId="0E71A0C8" w14:textId="77777777" w:rsidR="00A95CA1" w:rsidRPr="008A039D" w:rsidRDefault="00A95CA1" w:rsidP="00517A82">
      <w:pPr>
        <w:pStyle w:val="Odstavecseseznamem"/>
        <w:numPr>
          <w:ilvl w:val="0"/>
          <w:numId w:val="15"/>
        </w:numPr>
        <w:rPr>
          <w:lang w:val="cs-CZ"/>
        </w:rPr>
      </w:pPr>
      <w:r w:rsidRPr="008A039D">
        <w:rPr>
          <w:lang w:val="cs-CZ"/>
        </w:rPr>
        <w:t>Ceny za poskytování služeb na základě Smlouvy byly dohodnuty jako smluvní maximální na základě nabídky Poskytovatele v rámci zadávacího řízení na Veřejnou zakázku a jsou uvedeny v příloze č. 2 Smlouvy.</w:t>
      </w:r>
    </w:p>
    <w:p w14:paraId="3831DA5F" w14:textId="77777777" w:rsidR="00A95CA1" w:rsidRPr="008A039D" w:rsidRDefault="00A95CA1" w:rsidP="00517A82">
      <w:pPr>
        <w:pStyle w:val="Odstavecseseznamem"/>
        <w:numPr>
          <w:ilvl w:val="0"/>
          <w:numId w:val="15"/>
        </w:numPr>
        <w:rPr>
          <w:lang w:val="cs-CZ"/>
        </w:rPr>
      </w:pPr>
      <w:r w:rsidRPr="008A039D">
        <w:rPr>
          <w:lang w:val="cs-CZ"/>
        </w:rPr>
        <w:t xml:space="preserve">Cena za poskytované služby bude hrazena dle skutečného plnění. Poskytovatel je povinen na vyžádání doložit GPS záznamy vozidel údržby pro kontrolu provedených prací. Poskytovatel bude vystavovat faktury měsíčně vždy k poslednímu dni daného měsíce. </w:t>
      </w:r>
    </w:p>
    <w:p w14:paraId="6B932D73" w14:textId="77777777" w:rsidR="00A95CA1" w:rsidRPr="008A039D" w:rsidRDefault="00A95CA1" w:rsidP="00517A82">
      <w:pPr>
        <w:pStyle w:val="Odstavecseseznamem"/>
        <w:numPr>
          <w:ilvl w:val="0"/>
          <w:numId w:val="15"/>
        </w:numPr>
        <w:rPr>
          <w:lang w:val="cs-CZ"/>
        </w:rPr>
      </w:pPr>
      <w:r w:rsidRPr="008A039D">
        <w:rPr>
          <w:lang w:val="cs-CZ"/>
        </w:rPr>
        <w:t>Objednatel se zavazuje za plnění provedené v souladu se Smlouvou zaplatit Poskytovateli cenu stanovenou Smlouvou. Cenu je možné překročit jen za podmínek sjednaných Smlouvou. DPH bude k ceně účtována ve výši platné ke dni vystavení daňového dokladu.</w:t>
      </w:r>
    </w:p>
    <w:p w14:paraId="084384CD" w14:textId="77777777" w:rsidR="00A95CA1" w:rsidRPr="008A039D" w:rsidRDefault="00A95CA1" w:rsidP="00517A82">
      <w:pPr>
        <w:pStyle w:val="Odstavecseseznamem"/>
        <w:numPr>
          <w:ilvl w:val="0"/>
          <w:numId w:val="15"/>
        </w:numPr>
        <w:rPr>
          <w:lang w:val="cs-CZ"/>
        </w:rPr>
      </w:pPr>
      <w:r w:rsidRPr="008A039D">
        <w:rPr>
          <w:lang w:val="cs-CZ"/>
        </w:rPr>
        <w:t>Poskytovatel si vyhrazuje právo fakturovat Objednateli dodatečné plnění ve výši 15 000,- (slovy: patnácttisíckorunčeských) za každý den, ve kterém sněží více než 6 hod. denně nad limit 22 dnů definovaných jako kalamita, přičemž kalamitou se rozumí sněžení více jak 6 hodin denně po více než 22 dnů v období od 1. 11. do 31. 3. běžného roku.</w:t>
      </w:r>
    </w:p>
    <w:p w14:paraId="214A4EDE" w14:textId="77777777" w:rsidR="00A95CA1" w:rsidRPr="008A039D" w:rsidRDefault="00A95CA1" w:rsidP="00517A82">
      <w:pPr>
        <w:pStyle w:val="Odstavecseseznamem"/>
        <w:numPr>
          <w:ilvl w:val="0"/>
          <w:numId w:val="15"/>
        </w:numPr>
        <w:rPr>
          <w:lang w:val="cs-CZ"/>
        </w:rPr>
      </w:pPr>
      <w:r w:rsidRPr="008A039D">
        <w:rPr>
          <w:lang w:val="cs-CZ"/>
        </w:rPr>
        <w:t>Ceny za poskytované služby je možno překročit pouze po předchozí dohodě s Objednatelem za předpokladu, že:</w:t>
      </w:r>
    </w:p>
    <w:p w14:paraId="3AC05C70" w14:textId="77777777" w:rsidR="00A95CA1" w:rsidRPr="00292F52" w:rsidRDefault="00A95CA1" w:rsidP="00517A82">
      <w:pPr>
        <w:pStyle w:val="Odstavecseseznamem"/>
        <w:numPr>
          <w:ilvl w:val="0"/>
          <w:numId w:val="16"/>
        </w:numPr>
        <w:ind w:firstLine="273"/>
        <w:rPr>
          <w:lang w:val="cs-CZ"/>
        </w:rPr>
      </w:pPr>
      <w:r w:rsidRPr="00292F52">
        <w:rPr>
          <w:lang w:val="cs-CZ"/>
        </w:rPr>
        <w:t>Objednatel bude požadovat provedení jiných služeb a dodávek než těch, které jsou uvedeny v zadávacích podmínkách na Veřejnou zakázku a jejichž rozsah mu nebyl při vypisování zadávacího řízení na Veřejnou zakázku znám – tzv. vícepráce;</w:t>
      </w:r>
    </w:p>
    <w:p w14:paraId="20E8851E" w14:textId="74C8ABCF" w:rsidR="00A95CA1" w:rsidRPr="006C7AA0" w:rsidRDefault="00A95CA1" w:rsidP="00517A82">
      <w:pPr>
        <w:pStyle w:val="Odstavecseseznamem"/>
        <w:numPr>
          <w:ilvl w:val="0"/>
          <w:numId w:val="16"/>
        </w:numPr>
        <w:ind w:firstLine="273"/>
        <w:rPr>
          <w:lang w:val="cs-CZ"/>
        </w:rPr>
      </w:pPr>
      <w:r w:rsidRPr="006C7AA0">
        <w:rPr>
          <w:lang w:val="cs-CZ"/>
        </w:rPr>
        <w:t>Objednatel bude požadovat jinou kvalitu služeb a dodávek, než která je uvedena</w:t>
      </w:r>
      <w:r w:rsidR="006C7AA0">
        <w:rPr>
          <w:lang w:val="cs-CZ"/>
        </w:rPr>
        <w:t xml:space="preserve"> </w:t>
      </w:r>
      <w:r w:rsidRPr="006C7AA0">
        <w:rPr>
          <w:lang w:val="cs-CZ"/>
        </w:rPr>
        <w:t>v zadávacích podmínkách na Veřejnou zakázku;</w:t>
      </w:r>
    </w:p>
    <w:p w14:paraId="134798F5" w14:textId="74A7EB9D" w:rsidR="00A95CA1" w:rsidRPr="00A95CA1" w:rsidRDefault="00A95CA1" w:rsidP="00292F52">
      <w:pPr>
        <w:ind w:left="720" w:firstLine="273"/>
        <w:rPr>
          <w:lang w:val="cs-CZ"/>
        </w:rPr>
      </w:pPr>
    </w:p>
    <w:p w14:paraId="3CC3B1CE" w14:textId="77777777" w:rsidR="00A95CA1" w:rsidRPr="00A95CA1" w:rsidRDefault="00A95CA1" w:rsidP="00292F52">
      <w:pPr>
        <w:ind w:left="720" w:firstLine="273"/>
        <w:rPr>
          <w:lang w:val="cs-CZ"/>
        </w:rPr>
      </w:pPr>
    </w:p>
    <w:p w14:paraId="3A88EFE9" w14:textId="77777777" w:rsidR="00A95CA1" w:rsidRPr="00A95CA1" w:rsidRDefault="00A95CA1" w:rsidP="00292F52">
      <w:pPr>
        <w:ind w:left="720" w:firstLine="273"/>
        <w:rPr>
          <w:lang w:val="cs-CZ"/>
        </w:rPr>
      </w:pPr>
    </w:p>
    <w:p w14:paraId="32688521" w14:textId="5FB1D3A5" w:rsidR="00A95CA1" w:rsidRPr="00292F52" w:rsidRDefault="00A95CA1" w:rsidP="00517A82">
      <w:pPr>
        <w:pStyle w:val="Odstavecseseznamem"/>
        <w:numPr>
          <w:ilvl w:val="0"/>
          <w:numId w:val="16"/>
        </w:numPr>
        <w:ind w:firstLine="273"/>
        <w:rPr>
          <w:lang w:val="cs-CZ"/>
        </w:rPr>
      </w:pPr>
      <w:r w:rsidRPr="00292F52">
        <w:rPr>
          <w:lang w:val="cs-CZ"/>
        </w:rPr>
        <w:t xml:space="preserve">Smluvní strany sjednávají, že jednotkové ceny dle této smlouvy lze navýšit o inflaci dozná-li změny předchozím kalendářním roce minimálně o 3 %, a to vždy na základě žádosti zaslané dodavatelem objednateli k 1. 3. příslušného roku, počínaje 1. </w:t>
      </w:r>
      <w:r w:rsidRPr="00292F52">
        <w:rPr>
          <w:lang w:val="cs-CZ"/>
        </w:rPr>
        <w:lastRenderedPageBreak/>
        <w:t>3. 2029. Při počítání inflace smluvní strany vycházejí z údajů o průměrné roční míře inflace vyjádřenou přírůstkem průměrného ročního indexu spotřebitelských cen za uplynulý kalendářní rok, vyhlášenou Českým statistickým úřadem.</w:t>
      </w:r>
    </w:p>
    <w:p w14:paraId="6EC80167" w14:textId="77777777" w:rsidR="00A95CA1" w:rsidRPr="00A95CA1" w:rsidRDefault="00A95CA1" w:rsidP="00A95CA1">
      <w:pPr>
        <w:rPr>
          <w:lang w:val="cs-CZ"/>
        </w:rPr>
      </w:pPr>
    </w:p>
    <w:p w14:paraId="09EAB206" w14:textId="77777777" w:rsidR="00A95CA1" w:rsidRPr="006C7AA0" w:rsidRDefault="00A95CA1" w:rsidP="00517A82">
      <w:pPr>
        <w:pStyle w:val="Odstavecseseznamem"/>
        <w:numPr>
          <w:ilvl w:val="0"/>
          <w:numId w:val="15"/>
        </w:numPr>
        <w:rPr>
          <w:lang w:val="cs-CZ"/>
        </w:rPr>
      </w:pPr>
      <w:r w:rsidRPr="006C7AA0">
        <w:rPr>
          <w:lang w:val="cs-CZ"/>
        </w:rPr>
        <w:t>Faktura vystavená Poskytovatelem musí obsahovat veškeré stanovené obsahové i formální náležitosti daňového dokladu v souladu s příslušnými právními předpisy, a musí být označena zejména:</w:t>
      </w:r>
    </w:p>
    <w:p w14:paraId="0BBC4F59" w14:textId="77777777" w:rsidR="00A95CA1" w:rsidRPr="006C7AA0" w:rsidRDefault="00A95CA1" w:rsidP="00517A82">
      <w:pPr>
        <w:pStyle w:val="Odstavecseseznamem"/>
        <w:numPr>
          <w:ilvl w:val="0"/>
          <w:numId w:val="17"/>
        </w:numPr>
        <w:rPr>
          <w:lang w:val="cs-CZ"/>
        </w:rPr>
      </w:pPr>
      <w:r w:rsidRPr="006C7AA0">
        <w:rPr>
          <w:lang w:val="cs-CZ"/>
        </w:rPr>
        <w:t>označení Faktury a její číslo;</w:t>
      </w:r>
    </w:p>
    <w:p w14:paraId="523CC187" w14:textId="77777777" w:rsidR="00A95CA1" w:rsidRPr="006C7AA0" w:rsidRDefault="00A95CA1" w:rsidP="00517A82">
      <w:pPr>
        <w:pStyle w:val="Odstavecseseznamem"/>
        <w:numPr>
          <w:ilvl w:val="0"/>
          <w:numId w:val="17"/>
        </w:numPr>
        <w:rPr>
          <w:lang w:val="cs-CZ"/>
        </w:rPr>
      </w:pPr>
      <w:r w:rsidRPr="006C7AA0">
        <w:rPr>
          <w:lang w:val="cs-CZ"/>
        </w:rPr>
        <w:t>identifikační údaje Smluvních stran včetně platebních údajů;</w:t>
      </w:r>
    </w:p>
    <w:p w14:paraId="7FD93AB8" w14:textId="77777777" w:rsidR="00A95CA1" w:rsidRPr="006C7AA0" w:rsidRDefault="00A95CA1" w:rsidP="00517A82">
      <w:pPr>
        <w:pStyle w:val="Odstavecseseznamem"/>
        <w:numPr>
          <w:ilvl w:val="0"/>
          <w:numId w:val="17"/>
        </w:numPr>
        <w:rPr>
          <w:lang w:val="cs-CZ"/>
        </w:rPr>
      </w:pPr>
      <w:r w:rsidRPr="006C7AA0">
        <w:rPr>
          <w:lang w:val="cs-CZ"/>
        </w:rPr>
        <w:t>specifikaci poskytovaných služeb a dobu plnění;</w:t>
      </w:r>
    </w:p>
    <w:p w14:paraId="4BAEAD83" w14:textId="77777777" w:rsidR="00A95CA1" w:rsidRPr="006C7AA0" w:rsidRDefault="00A95CA1" w:rsidP="00517A82">
      <w:pPr>
        <w:pStyle w:val="Odstavecseseznamem"/>
        <w:numPr>
          <w:ilvl w:val="0"/>
          <w:numId w:val="17"/>
        </w:numPr>
        <w:rPr>
          <w:lang w:val="cs-CZ"/>
        </w:rPr>
      </w:pPr>
      <w:r w:rsidRPr="006C7AA0">
        <w:rPr>
          <w:lang w:val="cs-CZ"/>
        </w:rPr>
        <w:t>den vystavení Faktury a lhůtu splatnosti;</w:t>
      </w:r>
    </w:p>
    <w:p w14:paraId="0743606C" w14:textId="77777777" w:rsidR="00A95CA1" w:rsidRPr="006C7AA0" w:rsidRDefault="00A95CA1" w:rsidP="00517A82">
      <w:pPr>
        <w:pStyle w:val="Odstavecseseznamem"/>
        <w:numPr>
          <w:ilvl w:val="0"/>
          <w:numId w:val="17"/>
        </w:numPr>
        <w:rPr>
          <w:lang w:val="cs-CZ"/>
        </w:rPr>
      </w:pPr>
      <w:r w:rsidRPr="006C7AA0">
        <w:rPr>
          <w:lang w:val="cs-CZ"/>
        </w:rPr>
        <w:t>fakturovanou částku v členění bez DPH, včetně DPH a samostatně sazba a výše DPH; a</w:t>
      </w:r>
    </w:p>
    <w:p w14:paraId="3ED6BCF1" w14:textId="77777777" w:rsidR="00A95CA1" w:rsidRDefault="00A95CA1" w:rsidP="00517A82">
      <w:pPr>
        <w:pStyle w:val="Odstavecseseznamem"/>
        <w:numPr>
          <w:ilvl w:val="0"/>
          <w:numId w:val="17"/>
        </w:numPr>
        <w:rPr>
          <w:lang w:val="cs-CZ"/>
        </w:rPr>
      </w:pPr>
      <w:r w:rsidRPr="006C7AA0">
        <w:rPr>
          <w:lang w:val="cs-CZ"/>
        </w:rPr>
        <w:t>jméno a vlastnoruční podpis osoby, jež Fakturu vystavila.</w:t>
      </w:r>
    </w:p>
    <w:p w14:paraId="0B59B03D" w14:textId="77777777" w:rsidR="006C7AA0" w:rsidRPr="006C7AA0" w:rsidRDefault="006C7AA0" w:rsidP="006C7AA0">
      <w:pPr>
        <w:rPr>
          <w:lang w:val="cs-CZ"/>
        </w:rPr>
      </w:pPr>
    </w:p>
    <w:p w14:paraId="62CFF230" w14:textId="5804087B" w:rsidR="00A95CA1" w:rsidRPr="00DA5D06" w:rsidRDefault="00A95CA1" w:rsidP="00517A82">
      <w:pPr>
        <w:pStyle w:val="Odstavecseseznamem"/>
        <w:numPr>
          <w:ilvl w:val="0"/>
          <w:numId w:val="15"/>
        </w:numPr>
        <w:rPr>
          <w:lang w:val="cs-CZ"/>
        </w:rPr>
      </w:pPr>
      <w:r w:rsidRPr="00DA5D06">
        <w:rPr>
          <w:lang w:val="cs-CZ"/>
        </w:rPr>
        <w:t>Faktury budou zasílány na adresu Objednatele ve tvaru: Město Ostrov, Jáchymovská 1, 363 01,</w:t>
      </w:r>
      <w:r w:rsidR="00DA5D06">
        <w:rPr>
          <w:lang w:val="cs-CZ"/>
        </w:rPr>
        <w:t xml:space="preserve"> </w:t>
      </w:r>
      <w:r w:rsidRPr="00DA5D06">
        <w:rPr>
          <w:lang w:val="cs-CZ"/>
        </w:rPr>
        <w:t>Ostrov.</w:t>
      </w:r>
    </w:p>
    <w:p w14:paraId="5E8B198A" w14:textId="77777777" w:rsidR="00A95CA1" w:rsidRPr="006C7AA0" w:rsidRDefault="00A95CA1" w:rsidP="00517A82">
      <w:pPr>
        <w:pStyle w:val="Odstavecseseznamem"/>
        <w:numPr>
          <w:ilvl w:val="0"/>
          <w:numId w:val="15"/>
        </w:numPr>
        <w:rPr>
          <w:lang w:val="cs-CZ"/>
        </w:rPr>
      </w:pPr>
      <w:r w:rsidRPr="006C7AA0">
        <w:rPr>
          <w:lang w:val="cs-CZ"/>
        </w:rPr>
        <w:t>Lhůta splatnosti Poskytovatelem vystavených Faktur činí nejméně 21 kalendářních dnů od jejich doručení Objednateli. Smluvní strany dále ujednaly, že veškeré platby za poskytnuté služby budou placeny bezhotovostním převodem na účet Poskytovatele uvedený v záhlaví Smlouvy. Povinnost Objednatele zaplatit za poskytnuté služby je splněna dnem odepsání příslušné částky z účtu Objednatele.</w:t>
      </w:r>
    </w:p>
    <w:p w14:paraId="195FB7E0" w14:textId="77777777" w:rsidR="00A95CA1" w:rsidRPr="006C7AA0" w:rsidRDefault="00A95CA1" w:rsidP="00517A82">
      <w:pPr>
        <w:pStyle w:val="Odstavecseseznamem"/>
        <w:numPr>
          <w:ilvl w:val="0"/>
          <w:numId w:val="15"/>
        </w:numPr>
        <w:rPr>
          <w:lang w:val="cs-CZ"/>
        </w:rPr>
      </w:pPr>
      <w:r w:rsidRPr="006C7AA0">
        <w:rPr>
          <w:lang w:val="cs-CZ"/>
        </w:rPr>
        <w:t>V případě, že Faktura nebude mít odpovídající náležitosti či bude chybně vyúčtována cena či DPH, je Objednatel oprávněn vrátit ji ve lhůtě splatnosti Poskytovateli s vytknutím nedostatků, aniž by se dostal do prodlení. Nová lhůta splatnosti počíná běžet od okamžiku doručení opravené či doplněné Faktury Objednateli.</w:t>
      </w:r>
    </w:p>
    <w:p w14:paraId="081DBFB4" w14:textId="77777777" w:rsidR="00A95CA1" w:rsidRPr="006C7AA0" w:rsidRDefault="00A95CA1" w:rsidP="00517A82">
      <w:pPr>
        <w:pStyle w:val="Odstavecseseznamem"/>
        <w:numPr>
          <w:ilvl w:val="0"/>
          <w:numId w:val="15"/>
        </w:numPr>
        <w:rPr>
          <w:lang w:val="cs-CZ"/>
        </w:rPr>
      </w:pPr>
      <w:r w:rsidRPr="006C7AA0">
        <w:rPr>
          <w:lang w:val="cs-CZ"/>
        </w:rPr>
        <w:t>Objednatel neposkytuje žádné zálohové platby.</w:t>
      </w:r>
    </w:p>
    <w:p w14:paraId="7850201F" w14:textId="77777777" w:rsidR="00A95CA1" w:rsidRPr="006C7AA0" w:rsidRDefault="00A95CA1" w:rsidP="00517A82">
      <w:pPr>
        <w:pStyle w:val="Odstavecseseznamem"/>
        <w:numPr>
          <w:ilvl w:val="0"/>
          <w:numId w:val="15"/>
        </w:numPr>
        <w:rPr>
          <w:lang w:val="cs-CZ"/>
        </w:rPr>
      </w:pPr>
      <w:r w:rsidRPr="006C7AA0">
        <w:rPr>
          <w:lang w:val="cs-CZ"/>
        </w:rPr>
        <w:t>Veškeré platby budou probíhat výhradně v Kč (CZK), rovněž veškeré cenové údaje na Faktuře budou v této měně.</w:t>
      </w:r>
    </w:p>
    <w:p w14:paraId="34ED4D42" w14:textId="77777777" w:rsidR="00A95CA1" w:rsidRPr="00A95CA1" w:rsidRDefault="00A95CA1" w:rsidP="00A95CA1">
      <w:pPr>
        <w:rPr>
          <w:lang w:val="cs-CZ"/>
        </w:rPr>
      </w:pPr>
    </w:p>
    <w:p w14:paraId="0EB9AA88" w14:textId="77777777" w:rsidR="00A95CA1" w:rsidRPr="00A95CA1" w:rsidRDefault="00A95CA1" w:rsidP="00A95CA1">
      <w:pPr>
        <w:rPr>
          <w:lang w:val="cs-CZ"/>
        </w:rPr>
      </w:pPr>
    </w:p>
    <w:p w14:paraId="03CFD6D0" w14:textId="77777777" w:rsidR="00A95CA1" w:rsidRPr="00DA5D06" w:rsidRDefault="00A95CA1" w:rsidP="00DA5D06">
      <w:pPr>
        <w:jc w:val="center"/>
        <w:rPr>
          <w:b/>
          <w:bCs/>
          <w:lang w:val="cs-CZ"/>
        </w:rPr>
      </w:pPr>
      <w:r w:rsidRPr="00DA5D06">
        <w:rPr>
          <w:b/>
          <w:bCs/>
          <w:lang w:val="cs-CZ"/>
        </w:rPr>
        <w:t>Článek IV.</w:t>
      </w:r>
    </w:p>
    <w:p w14:paraId="57708DE7" w14:textId="77777777" w:rsidR="00A95CA1" w:rsidRPr="00DA5D06" w:rsidRDefault="00A95CA1" w:rsidP="00DA5D06">
      <w:pPr>
        <w:jc w:val="center"/>
        <w:rPr>
          <w:b/>
          <w:bCs/>
          <w:lang w:val="cs-CZ"/>
        </w:rPr>
      </w:pPr>
      <w:r w:rsidRPr="00DA5D06">
        <w:rPr>
          <w:b/>
          <w:bCs/>
          <w:lang w:val="cs-CZ"/>
        </w:rPr>
        <w:t>Práva a povinnosti Objednatele</w:t>
      </w:r>
    </w:p>
    <w:p w14:paraId="1400B46E" w14:textId="77777777" w:rsidR="00A95CA1" w:rsidRPr="00B77391" w:rsidRDefault="00A95CA1" w:rsidP="00517A82">
      <w:pPr>
        <w:pStyle w:val="Odstavecseseznamem"/>
        <w:numPr>
          <w:ilvl w:val="0"/>
          <w:numId w:val="18"/>
        </w:numPr>
        <w:rPr>
          <w:lang w:val="cs-CZ"/>
        </w:rPr>
      </w:pPr>
      <w:r w:rsidRPr="00B77391">
        <w:rPr>
          <w:lang w:val="cs-CZ"/>
        </w:rPr>
        <w:t>Objednatel má právo kdykoliv provést kontrolu plnění předmětu Smlouvy. Kontroly budou prováděny průběžně a každé první úterý v měsíci bude pořízen protokol o stavu čištění nebo zimní údržby za uplynulý měsíc. Zjistí-li Objednatel, že Poskytovatel provádí plnění v rozporu s podmínkami sjednanými Smlouvou, je Objednatel oprávněn dožadovat se toho, aby Poskytovatel odstranil vady vzniklé vadným prováděním a plnění prováděl řádným způsobem.</w:t>
      </w:r>
    </w:p>
    <w:p w14:paraId="2A11A3E8" w14:textId="48A46CD6" w:rsidR="00A95CA1" w:rsidRPr="00B77391" w:rsidRDefault="00A95CA1" w:rsidP="00517A82">
      <w:pPr>
        <w:pStyle w:val="Odstavecseseznamem"/>
        <w:numPr>
          <w:ilvl w:val="0"/>
          <w:numId w:val="18"/>
        </w:numPr>
        <w:rPr>
          <w:lang w:val="cs-CZ"/>
        </w:rPr>
      </w:pPr>
      <w:r w:rsidRPr="00B77391">
        <w:rPr>
          <w:lang w:val="cs-CZ"/>
        </w:rPr>
        <w:lastRenderedPageBreak/>
        <w:t>Objednatel může písemně (např. faxem) upozornit Poskytovatele v případě potřeby vyčištění znečištěných komunikací nad rámec smluvního rozsahu. Poskytovatel je povinen nejpozději do dvou následujících pracovních dní provést a vyúčtovat vyčištění takto nahlášených komunikací.</w:t>
      </w:r>
    </w:p>
    <w:p w14:paraId="01C9B2CF" w14:textId="77777777" w:rsidR="00A95CA1" w:rsidRPr="00B77391" w:rsidRDefault="00A95CA1" w:rsidP="00517A82">
      <w:pPr>
        <w:pStyle w:val="Odstavecseseznamem"/>
        <w:numPr>
          <w:ilvl w:val="0"/>
          <w:numId w:val="18"/>
        </w:numPr>
        <w:rPr>
          <w:lang w:val="cs-CZ"/>
        </w:rPr>
      </w:pPr>
      <w:r w:rsidRPr="00B77391">
        <w:rPr>
          <w:lang w:val="cs-CZ"/>
        </w:rPr>
        <w:t>Objednatel se zavazuje poskytnout Poskytovateli potřebné spolupůsobení při provádění plnění spočívající zejména v zajištění, ve spolupráci s městskou policií, důsledného dodržování zákazů zastavení v úsecích blokového čištění a odstranění nevhodně zaparkovaných vozidel při provádění ZÚ komunikací.</w:t>
      </w:r>
    </w:p>
    <w:p w14:paraId="31DD532A" w14:textId="77777777" w:rsidR="00A95CA1" w:rsidRPr="00A95CA1" w:rsidRDefault="00A95CA1" w:rsidP="00A95CA1">
      <w:pPr>
        <w:rPr>
          <w:lang w:val="cs-CZ"/>
        </w:rPr>
      </w:pPr>
    </w:p>
    <w:p w14:paraId="12CC534C" w14:textId="77777777" w:rsidR="00A95CA1" w:rsidRPr="00A95CA1" w:rsidRDefault="00A95CA1" w:rsidP="00A95CA1">
      <w:pPr>
        <w:rPr>
          <w:lang w:val="cs-CZ"/>
        </w:rPr>
      </w:pPr>
    </w:p>
    <w:p w14:paraId="43F5F507" w14:textId="4DC5F731" w:rsidR="00B77391" w:rsidRPr="00B77391" w:rsidRDefault="00A95CA1" w:rsidP="00B77391">
      <w:pPr>
        <w:jc w:val="center"/>
        <w:rPr>
          <w:b/>
          <w:bCs/>
          <w:lang w:val="cs-CZ"/>
        </w:rPr>
      </w:pPr>
      <w:r w:rsidRPr="00B77391">
        <w:rPr>
          <w:b/>
          <w:bCs/>
          <w:lang w:val="cs-CZ"/>
        </w:rPr>
        <w:t>Článek V.</w:t>
      </w:r>
    </w:p>
    <w:p w14:paraId="43A43757" w14:textId="4D2C9FA9" w:rsidR="00A95CA1" w:rsidRPr="00B77391" w:rsidRDefault="00A95CA1" w:rsidP="00B77391">
      <w:pPr>
        <w:jc w:val="center"/>
        <w:rPr>
          <w:b/>
          <w:bCs/>
          <w:lang w:val="cs-CZ"/>
        </w:rPr>
      </w:pPr>
      <w:r w:rsidRPr="00B77391">
        <w:rPr>
          <w:b/>
          <w:bCs/>
          <w:lang w:val="cs-CZ"/>
        </w:rPr>
        <w:t>Povinnosti Poskytovatele</w:t>
      </w:r>
    </w:p>
    <w:p w14:paraId="0DEBEF4F" w14:textId="77777777" w:rsidR="00A95CA1" w:rsidRPr="00BF6447" w:rsidRDefault="00A95CA1" w:rsidP="00517A82">
      <w:pPr>
        <w:pStyle w:val="Odstavecseseznamem"/>
        <w:numPr>
          <w:ilvl w:val="0"/>
          <w:numId w:val="19"/>
        </w:numPr>
        <w:rPr>
          <w:lang w:val="cs-CZ"/>
        </w:rPr>
      </w:pPr>
      <w:r w:rsidRPr="00BF6447">
        <w:rPr>
          <w:lang w:val="cs-CZ"/>
        </w:rPr>
        <w:t>Poskytovatel se zavazuje poskytovat služby dle Smlouvy vlastním jménem, na vlastní odpovědnost a nebezpečí.</w:t>
      </w:r>
    </w:p>
    <w:p w14:paraId="2F484FFD" w14:textId="77777777" w:rsidR="00A95CA1" w:rsidRPr="00BF6447" w:rsidRDefault="00A95CA1" w:rsidP="00517A82">
      <w:pPr>
        <w:pStyle w:val="Odstavecseseznamem"/>
        <w:numPr>
          <w:ilvl w:val="0"/>
          <w:numId w:val="19"/>
        </w:numPr>
        <w:rPr>
          <w:lang w:val="cs-CZ"/>
        </w:rPr>
      </w:pPr>
      <w:r w:rsidRPr="00BF6447">
        <w:rPr>
          <w:lang w:val="cs-CZ"/>
        </w:rPr>
        <w:t xml:space="preserve">Poskytovatel zodpovídá za čistotu místních a státních komunikací ve městě a je na něm, aby zajistil takový rozsah a četnost jízd čistících mechanismů, aby byly tyto komunikace ve městě čisté. V případě zjištění znečištění komunikací způsobené třetími osobami, zavazuje se Poskytovatel toto neprodleně oznámit Objednateli.                                                                              </w:t>
      </w:r>
    </w:p>
    <w:p w14:paraId="04316FC9" w14:textId="77777777" w:rsidR="00A95CA1" w:rsidRPr="00BF6447" w:rsidRDefault="00A95CA1" w:rsidP="00517A82">
      <w:pPr>
        <w:pStyle w:val="Odstavecseseznamem"/>
        <w:numPr>
          <w:ilvl w:val="0"/>
          <w:numId w:val="19"/>
        </w:numPr>
        <w:rPr>
          <w:lang w:val="cs-CZ"/>
        </w:rPr>
      </w:pPr>
      <w:r w:rsidRPr="00BF6447">
        <w:rPr>
          <w:lang w:val="cs-CZ"/>
        </w:rPr>
        <w:t>Je jeho povinností monitorovat stav a samostatně objednateli předkládat návrhy na úpravu.</w:t>
      </w:r>
    </w:p>
    <w:p w14:paraId="6F0211CA" w14:textId="77777777" w:rsidR="00A95CA1" w:rsidRPr="00BF6447" w:rsidRDefault="00A95CA1" w:rsidP="00517A82">
      <w:pPr>
        <w:pStyle w:val="Odstavecseseznamem"/>
        <w:numPr>
          <w:ilvl w:val="0"/>
          <w:numId w:val="19"/>
        </w:numPr>
        <w:rPr>
          <w:lang w:val="cs-CZ"/>
        </w:rPr>
      </w:pPr>
      <w:r w:rsidRPr="00BF6447">
        <w:rPr>
          <w:lang w:val="cs-CZ"/>
        </w:rPr>
        <w:t>Poskytovatel bezodkladně a prokazatelně upozorní Objednatele na všechny okolnosti, které by dle odborných znalostí Poskytovatele mohly vést při činnosti Poskytovatele k ohrožení života a zdraví osob, a dále bezodkladně a prokazatelně upozorní Objednatele na všechny okolnosti, které by při činnosti Poskytovatele mohly vést k ohrožení provozu nebo ohrožení bezpečného stavu technických zařízení a objektů.</w:t>
      </w:r>
    </w:p>
    <w:p w14:paraId="3D716A7E" w14:textId="77777777" w:rsidR="00A95CA1" w:rsidRPr="00BF6447" w:rsidRDefault="00A95CA1" w:rsidP="00517A82">
      <w:pPr>
        <w:pStyle w:val="Odstavecseseznamem"/>
        <w:numPr>
          <w:ilvl w:val="0"/>
          <w:numId w:val="19"/>
        </w:numPr>
        <w:rPr>
          <w:lang w:val="cs-CZ"/>
        </w:rPr>
      </w:pPr>
      <w:r w:rsidRPr="00BF6447">
        <w:rPr>
          <w:lang w:val="cs-CZ"/>
        </w:rPr>
        <w:t>Poskytovatel odpovídá za bezpečné poskytování služeb a zavazuje se, že si zajistí vlastní dozor nad bezpečností práce ve smyslu příslušných předpisů a soustavnou kontrolou nad bezpečností práce při činnosti na pracovištích Objednatele ve smyslu zákona č. 262/2006 Sb., zákoníku práce, v platném znění.</w:t>
      </w:r>
    </w:p>
    <w:p w14:paraId="3BB87654" w14:textId="60143AAE" w:rsidR="00A95CA1" w:rsidRPr="00224007" w:rsidRDefault="00A95CA1" w:rsidP="00517A82">
      <w:pPr>
        <w:pStyle w:val="Odstavecseseznamem"/>
        <w:numPr>
          <w:ilvl w:val="0"/>
          <w:numId w:val="19"/>
        </w:numPr>
        <w:rPr>
          <w:lang w:val="cs-CZ"/>
        </w:rPr>
      </w:pPr>
      <w:r w:rsidRPr="00224007">
        <w:rPr>
          <w:lang w:val="cs-CZ"/>
        </w:rPr>
        <w:t>Poskytovatel bude poskytovat služby tak, aby nebyl na místních komunikacích ohrožen provoz</w:t>
      </w:r>
      <w:r w:rsidR="00224007">
        <w:rPr>
          <w:lang w:val="cs-CZ"/>
        </w:rPr>
        <w:t xml:space="preserve"> </w:t>
      </w:r>
      <w:r w:rsidRPr="00224007">
        <w:rPr>
          <w:lang w:val="cs-CZ"/>
        </w:rPr>
        <w:t>a v co nejmenší míře docházelo k omezování silničního a pěšího provozu.</w:t>
      </w:r>
    </w:p>
    <w:p w14:paraId="2EA03C86" w14:textId="71DA7F84" w:rsidR="00A95CA1" w:rsidRPr="00BF6447" w:rsidRDefault="00A95CA1" w:rsidP="00517A82">
      <w:pPr>
        <w:pStyle w:val="Odstavecseseznamem"/>
        <w:numPr>
          <w:ilvl w:val="0"/>
          <w:numId w:val="19"/>
        </w:numPr>
        <w:rPr>
          <w:lang w:val="cs-CZ"/>
        </w:rPr>
      </w:pPr>
      <w:r w:rsidRPr="00BF6447">
        <w:rPr>
          <w:lang w:val="cs-CZ"/>
        </w:rPr>
        <w:t>Poskytovatel je při provádění blokového čištění povinen řídit se aktuálním</w:t>
      </w:r>
      <w:r w:rsidR="00BF6447" w:rsidRPr="00BF6447">
        <w:rPr>
          <w:lang w:val="cs-CZ"/>
        </w:rPr>
        <w:t xml:space="preserve"> </w:t>
      </w:r>
      <w:r w:rsidRPr="00BF6447">
        <w:rPr>
          <w:lang w:val="cs-CZ"/>
        </w:rPr>
        <w:t>nařízením města Ostrova o zabezpečení zmírňování závad ve schůdnosti a sjízdnosti místních komunikací a průjezdných úseků silnic v zimním období a o vymezení úseků místních komunikací, na kterých se pro jejich malý dopravní význam neprovádí zimní údržba (dále jen „nařízení“). Poskytovatel je povinen v souladu s nařízením před započetím zimního období označit úseky místních komunikací, na kterých se pro jejich malý dopravní význam nezajišťuje schůdnost odstraňováním sněhu a náledí a zajistit průběžnou kontrolu stavu tohoto označení v zimním období.</w:t>
      </w:r>
    </w:p>
    <w:p w14:paraId="4F173685" w14:textId="71AC3AF8" w:rsidR="00A95CA1" w:rsidRPr="00BF6447" w:rsidRDefault="00A95CA1" w:rsidP="00517A82">
      <w:pPr>
        <w:pStyle w:val="Odstavecseseznamem"/>
        <w:numPr>
          <w:ilvl w:val="0"/>
          <w:numId w:val="19"/>
        </w:numPr>
        <w:rPr>
          <w:lang w:val="cs-CZ"/>
        </w:rPr>
      </w:pPr>
      <w:r w:rsidRPr="00BF6447">
        <w:rPr>
          <w:lang w:val="cs-CZ"/>
        </w:rPr>
        <w:lastRenderedPageBreak/>
        <w:t>Jestliže Objednatel v upozornění dle článku IV. odst. 4.2 Smlouvy výslovně uvede, že se jedná o havárii, je Poskytovatel povinen začít s odstraňováním vzniklého stavu neprodleně do 24 hodin po obdržení upozornění. Pokud tak neučiní, je povinen zaplatit Objednateli mimo náhrady škody a případného ušlého zisku i smluvní pokutu ve výši 1.000,-- Kč (jedentisíc korun</w:t>
      </w:r>
      <w:r w:rsidR="00BF6447" w:rsidRPr="00BF6447">
        <w:rPr>
          <w:lang w:val="cs-CZ"/>
        </w:rPr>
        <w:t xml:space="preserve"> </w:t>
      </w:r>
      <w:r w:rsidRPr="00BF6447">
        <w:rPr>
          <w:lang w:val="cs-CZ"/>
        </w:rPr>
        <w:t>českých) za každý i započatý den prodlení. Havárií se ve Smlouvě rozumí takový stav, který by   mohl zapříčinit bezprostřední ohrožení majetku či osob.</w:t>
      </w:r>
    </w:p>
    <w:p w14:paraId="5BA2E89B" w14:textId="77777777" w:rsidR="00A95CA1" w:rsidRPr="00BF6447" w:rsidRDefault="00A95CA1" w:rsidP="00517A82">
      <w:pPr>
        <w:pStyle w:val="Odstavecseseznamem"/>
        <w:numPr>
          <w:ilvl w:val="0"/>
          <w:numId w:val="19"/>
        </w:numPr>
        <w:rPr>
          <w:lang w:val="cs-CZ"/>
        </w:rPr>
      </w:pPr>
      <w:r w:rsidRPr="00BF6447">
        <w:rPr>
          <w:lang w:val="cs-CZ"/>
        </w:rPr>
        <w:t>Poskytovatel je povinen vést ode dne, kdy zahájí poskytování služeb deník poskytovaných služeb (dále jen „deník“), do kterého je povinen zapisovat všechny důležité okolnosti týkající se provádění plnění, zejména soupis prováděných služeb, časový postup služeb, zdůvodnění odchylek od Smlouvy, apod. Zápisy do deníku čitelně zapisuje a podepisuje oprávněný zástupce Poskytovatele vždy ten den, kdy byly služby poskytnuty nebo kdy nastaly okolnosti, které jsou předmětem zápisu. Mimo pověřeného zástupce Poskytovatele může do deníku provádět záznamy pouze pověřený zástupce Objednatele.</w:t>
      </w:r>
    </w:p>
    <w:p w14:paraId="13C25E06" w14:textId="77777777" w:rsidR="00A95CA1" w:rsidRPr="00BF6447" w:rsidRDefault="00A95CA1" w:rsidP="00517A82">
      <w:pPr>
        <w:pStyle w:val="Odstavecseseznamem"/>
        <w:numPr>
          <w:ilvl w:val="0"/>
          <w:numId w:val="19"/>
        </w:numPr>
        <w:rPr>
          <w:lang w:val="cs-CZ"/>
        </w:rPr>
      </w:pPr>
      <w:r w:rsidRPr="00BF6447">
        <w:rPr>
          <w:lang w:val="cs-CZ"/>
        </w:rPr>
        <w:t>Pokud Poskytovatel plní předmět Smlouvy prostřednictvím poddodavatele, může tak činit jen prostřednictvím těch, kteří jsou uvedeni v příloze č. 3 Smlouvy nebo po předchozím souhlasu Objednatele a Poskytovatel je oprávněn k plnění svých závazků dle Smlouvy používat jako poddodavatele pouze tohoto poddodavatele. Změna poddodavatele za jiného způsobilého poddodavatele  je  možná  pouze  po předchozím  souhlasu  Objednatele.  V případě, že Poskytovatel zadá část plnění veřejné zakázky poddodavatelům, jednoznačně se stanoví, že Poskytovatel je jediným garantem plnění Smlouvy a jediným odpovědným subjektem vůči Objednateli ve vztahu k záruce a sankcím, ledaže spolu se poddodavatelem odpovídá společně a nerozdílně.</w:t>
      </w:r>
    </w:p>
    <w:p w14:paraId="229DCC3F" w14:textId="77777777" w:rsidR="00A95CA1" w:rsidRPr="00BF6447" w:rsidRDefault="00A95CA1" w:rsidP="00517A82">
      <w:pPr>
        <w:pStyle w:val="Odstavecseseznamem"/>
        <w:numPr>
          <w:ilvl w:val="0"/>
          <w:numId w:val="19"/>
        </w:numPr>
        <w:rPr>
          <w:lang w:val="cs-CZ"/>
        </w:rPr>
      </w:pPr>
      <w:r w:rsidRPr="00BF6447">
        <w:rPr>
          <w:lang w:val="cs-CZ"/>
        </w:rPr>
        <w:t>Poskytovatel není oprávněn postoupit závazky ze Smlouvy třetím osobám.</w:t>
      </w:r>
    </w:p>
    <w:p w14:paraId="1AB14BFB" w14:textId="77777777" w:rsidR="00A95CA1" w:rsidRPr="00BF6447" w:rsidRDefault="00A95CA1" w:rsidP="00517A82">
      <w:pPr>
        <w:pStyle w:val="Odstavecseseznamem"/>
        <w:numPr>
          <w:ilvl w:val="0"/>
          <w:numId w:val="19"/>
        </w:numPr>
        <w:rPr>
          <w:lang w:val="cs-CZ"/>
        </w:rPr>
      </w:pPr>
      <w:r w:rsidRPr="00BF6447">
        <w:rPr>
          <w:lang w:val="cs-CZ"/>
        </w:rPr>
        <w:t>Poskytovatel bere na vědomí, že je podle § 2 písm. e) zákona č. 320/2001 Sb., o finanční kontrole ve veřejné správě a o změně některých zákonů, v platném znění, osobou povinnou spolupůsobit při výkonu finanční kontroly prováděné v souvislosti s úhradou zboží nebo služeb z veřejných výdajů.</w:t>
      </w:r>
    </w:p>
    <w:p w14:paraId="1EBC8D6A" w14:textId="77777777" w:rsidR="00A95CA1" w:rsidRPr="00BF6447" w:rsidRDefault="00A95CA1" w:rsidP="00517A82">
      <w:pPr>
        <w:pStyle w:val="Odstavecseseznamem"/>
        <w:numPr>
          <w:ilvl w:val="0"/>
          <w:numId w:val="19"/>
        </w:numPr>
        <w:rPr>
          <w:lang w:val="cs-CZ"/>
        </w:rPr>
      </w:pPr>
      <w:r w:rsidRPr="00BF6447">
        <w:rPr>
          <w:lang w:val="cs-CZ"/>
        </w:rPr>
        <w:t>Poskytovatel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Poskytovatele, nebo by mohlo mít jakkoliv negativní vliv na schopnost Poskytovatele splnit povinnosti vyplývající ze Smlouvy, a že takové řízení nebylo vůči němu zahájeno.</w:t>
      </w:r>
    </w:p>
    <w:p w14:paraId="3DC7B4D9" w14:textId="3447810D" w:rsidR="00A95CA1" w:rsidRPr="00D57157" w:rsidRDefault="00A95CA1" w:rsidP="00C07404">
      <w:pPr>
        <w:pStyle w:val="Odstavecseseznamem"/>
        <w:numPr>
          <w:ilvl w:val="0"/>
          <w:numId w:val="19"/>
        </w:numPr>
        <w:rPr>
          <w:lang w:val="cs-CZ"/>
        </w:rPr>
      </w:pPr>
      <w:r w:rsidRPr="00D57157">
        <w:rPr>
          <w:lang w:val="cs-CZ"/>
        </w:rPr>
        <w:t>Poskytovatel bude informovat Objednatele o stavu poskytovaných služeb na pravidelných poradách, které bude Poskytovatel organizovat podle potřeby, nejméně však dvakrát za měsíc. Na těchto poradách předloží Poskytovatel Objednateli soupis provedených služeb a dodávek za předešlé období a soupis služeb a dodávek na další období.</w:t>
      </w:r>
    </w:p>
    <w:p w14:paraId="2966D994" w14:textId="77777777" w:rsidR="00A95CA1" w:rsidRPr="00224007" w:rsidRDefault="00A95CA1" w:rsidP="00224007">
      <w:pPr>
        <w:jc w:val="center"/>
        <w:rPr>
          <w:b/>
          <w:bCs/>
          <w:lang w:val="cs-CZ"/>
        </w:rPr>
      </w:pPr>
      <w:r w:rsidRPr="00224007">
        <w:rPr>
          <w:b/>
          <w:bCs/>
          <w:lang w:val="cs-CZ"/>
        </w:rPr>
        <w:t>Článek VI.</w:t>
      </w:r>
    </w:p>
    <w:p w14:paraId="69B5C7C6" w14:textId="77777777" w:rsidR="00A95CA1" w:rsidRPr="00224007" w:rsidRDefault="00A95CA1" w:rsidP="00224007">
      <w:pPr>
        <w:jc w:val="center"/>
        <w:rPr>
          <w:b/>
          <w:bCs/>
          <w:lang w:val="cs-CZ"/>
        </w:rPr>
      </w:pPr>
      <w:r w:rsidRPr="00224007">
        <w:rPr>
          <w:b/>
          <w:bCs/>
          <w:lang w:val="cs-CZ"/>
        </w:rPr>
        <w:lastRenderedPageBreak/>
        <w:t>Reklamace, odpovědnost za škodu</w:t>
      </w:r>
    </w:p>
    <w:p w14:paraId="7DBDDBEE" w14:textId="77777777" w:rsidR="00A95CA1" w:rsidRPr="00A95CA1" w:rsidRDefault="00A95CA1" w:rsidP="00A95CA1">
      <w:pPr>
        <w:rPr>
          <w:lang w:val="cs-CZ"/>
        </w:rPr>
      </w:pPr>
    </w:p>
    <w:p w14:paraId="77AB33F7" w14:textId="77777777" w:rsidR="00A95CA1" w:rsidRPr="00F86545" w:rsidRDefault="00A95CA1" w:rsidP="00517A82">
      <w:pPr>
        <w:pStyle w:val="Odstavecseseznamem"/>
        <w:numPr>
          <w:ilvl w:val="0"/>
          <w:numId w:val="20"/>
        </w:numPr>
        <w:rPr>
          <w:lang w:val="cs-CZ"/>
        </w:rPr>
      </w:pPr>
      <w:r w:rsidRPr="00F86545">
        <w:rPr>
          <w:lang w:val="cs-CZ"/>
        </w:rPr>
        <w:t>Poskytovatel odpovídá Objednateli za řádné poskytování služeb dle Smlouvy, jakož i jejich jednotlivých částí.</w:t>
      </w:r>
    </w:p>
    <w:p w14:paraId="7DF58A54" w14:textId="77777777" w:rsidR="00A95CA1" w:rsidRPr="00F86545" w:rsidRDefault="00A95CA1" w:rsidP="00517A82">
      <w:pPr>
        <w:pStyle w:val="Odstavecseseznamem"/>
        <w:numPr>
          <w:ilvl w:val="0"/>
          <w:numId w:val="20"/>
        </w:numPr>
        <w:rPr>
          <w:lang w:val="cs-CZ"/>
        </w:rPr>
      </w:pPr>
      <w:r w:rsidRPr="00F86545">
        <w:rPr>
          <w:lang w:val="cs-CZ"/>
        </w:rPr>
        <w:t>Poskytnutá služba má vady, jestliže její provedení neodpovídá specifikaci uvedené v zadávacích podmínkách na Veřejnou zakázku či Smlouvě.</w:t>
      </w:r>
    </w:p>
    <w:p w14:paraId="4FC8C59B" w14:textId="77777777" w:rsidR="00A95CA1" w:rsidRPr="00F86545" w:rsidRDefault="00A95CA1" w:rsidP="00517A82">
      <w:pPr>
        <w:pStyle w:val="Odstavecseseznamem"/>
        <w:numPr>
          <w:ilvl w:val="0"/>
          <w:numId w:val="20"/>
        </w:numPr>
        <w:rPr>
          <w:lang w:val="cs-CZ"/>
        </w:rPr>
      </w:pPr>
      <w:r w:rsidRPr="00F86545">
        <w:rPr>
          <w:lang w:val="cs-CZ"/>
        </w:rPr>
        <w:t>Veškeré vady z poskytnutých služeb je Objednatel povinen u Poskytovatele uplatnit bez zbytečného odkladu poté, kdy vadu zjistil, nejdéle však do 5 pracovních dní od jejich zjištění, a to formou písemného oznámení obsahujícím podrobnou specifikaci zjištěné vady.</w:t>
      </w:r>
    </w:p>
    <w:p w14:paraId="6451A658" w14:textId="77777777" w:rsidR="00A95CA1" w:rsidRPr="00F86545" w:rsidRDefault="00A95CA1" w:rsidP="00517A82">
      <w:pPr>
        <w:pStyle w:val="Odstavecseseznamem"/>
        <w:numPr>
          <w:ilvl w:val="0"/>
          <w:numId w:val="20"/>
        </w:numPr>
        <w:rPr>
          <w:lang w:val="cs-CZ"/>
        </w:rPr>
      </w:pPr>
      <w:r w:rsidRPr="00F86545">
        <w:rPr>
          <w:lang w:val="cs-CZ"/>
        </w:rPr>
        <w:t>Poskytovatel je povinen vady uplatněné Objednatelem neprodleně na své náklady odstranit, nebude-li mezi Smluvními stranami písemně dohodnuto jinak. Poskytovatel odpovídá Objednateli za případnou škodu způsobenou vadami realizovaného plnění.</w:t>
      </w:r>
    </w:p>
    <w:p w14:paraId="2B677269" w14:textId="77777777" w:rsidR="00A95CA1" w:rsidRPr="00F86545" w:rsidRDefault="00A95CA1" w:rsidP="00517A82">
      <w:pPr>
        <w:pStyle w:val="Odstavecseseznamem"/>
        <w:numPr>
          <w:ilvl w:val="0"/>
          <w:numId w:val="20"/>
        </w:numPr>
        <w:rPr>
          <w:lang w:val="cs-CZ"/>
        </w:rPr>
      </w:pPr>
      <w:r w:rsidRPr="00F86545">
        <w:rPr>
          <w:lang w:val="cs-CZ"/>
        </w:rPr>
        <w:t>Poskytovatel odpovídá za škodu, která vznikne Objednateli v příčinné souvislosti s tím, že Poskytovatel nepostupoval v souladu se Smlouvou nebo porušil právní předpisy či pokyny Objednatele. Poskytovatel dále odpovídá za škodu způsobenou Objednateli nebo třetím osobám nedodržením termínu splnění.</w:t>
      </w:r>
    </w:p>
    <w:p w14:paraId="3A9CE3F6" w14:textId="77777777" w:rsidR="00A95CA1" w:rsidRPr="00F86545" w:rsidRDefault="00A95CA1" w:rsidP="00517A82">
      <w:pPr>
        <w:pStyle w:val="Odstavecseseznamem"/>
        <w:numPr>
          <w:ilvl w:val="0"/>
          <w:numId w:val="20"/>
        </w:numPr>
        <w:rPr>
          <w:lang w:val="cs-CZ"/>
        </w:rPr>
      </w:pPr>
      <w:r w:rsidRPr="00F86545">
        <w:rPr>
          <w:lang w:val="cs-CZ"/>
        </w:rPr>
        <w:t>Poskytovatel se zavazuje, že po dobu trvání Smlouvy bude mít sjednáno a platně uzavřeno pojištění odpovědnosti za škodu způsobenou Objednateli či třetí osobě Poskytovatelem, jeho zaměstnanci, poddodavateli nebo osobami v obdobném postavení porušením jejich povinností, a to včetně škody způsobené při podnikatelské činnosti, přičemž pojistná smlouva bude mít limit pojistného plnění ve výši nejméně min. 10 mil Kč. Poskytovatel je povinen umožnit Objednateli kdykoliv nahlédnout do originálu pojistné Smlouvy či mu na jeho náklad pořídit její ověřenou kopii, a to nejpozději do 2 pracovních dnů od obdržení žádosti Objednatele.  Poskytovatel  je  dále  povinen  Objednatele  bezodkladně  (nejpozději do 2 pracovních dnů) informovat o jakékoliv změně pojistné smlouvy.</w:t>
      </w:r>
    </w:p>
    <w:p w14:paraId="123BE2A1" w14:textId="77777777" w:rsidR="00A95CA1" w:rsidRPr="00A95CA1" w:rsidRDefault="00A95CA1" w:rsidP="00A95CA1">
      <w:pPr>
        <w:rPr>
          <w:lang w:val="cs-CZ"/>
        </w:rPr>
      </w:pPr>
    </w:p>
    <w:p w14:paraId="10FD8E66" w14:textId="77777777" w:rsidR="00F86545" w:rsidRDefault="00A95CA1" w:rsidP="00F86545">
      <w:pPr>
        <w:jc w:val="center"/>
        <w:rPr>
          <w:b/>
          <w:bCs/>
          <w:lang w:val="cs-CZ"/>
        </w:rPr>
      </w:pPr>
      <w:r w:rsidRPr="00F86545">
        <w:rPr>
          <w:b/>
          <w:bCs/>
          <w:lang w:val="cs-CZ"/>
        </w:rPr>
        <w:t xml:space="preserve">Článek VII. </w:t>
      </w:r>
    </w:p>
    <w:p w14:paraId="1E71EFB1" w14:textId="171EBB21" w:rsidR="00A95CA1" w:rsidRPr="00F86545" w:rsidRDefault="00A95CA1" w:rsidP="00F86545">
      <w:pPr>
        <w:jc w:val="center"/>
        <w:rPr>
          <w:b/>
          <w:bCs/>
          <w:lang w:val="cs-CZ"/>
        </w:rPr>
      </w:pPr>
      <w:r w:rsidRPr="00F86545">
        <w:rPr>
          <w:b/>
          <w:bCs/>
          <w:lang w:val="cs-CZ"/>
        </w:rPr>
        <w:t>Sankční ujednání</w:t>
      </w:r>
    </w:p>
    <w:p w14:paraId="14050B6E" w14:textId="77777777" w:rsidR="00A95CA1" w:rsidRPr="00F86545" w:rsidRDefault="00A95CA1" w:rsidP="00517A82">
      <w:pPr>
        <w:pStyle w:val="Odstavecseseznamem"/>
        <w:numPr>
          <w:ilvl w:val="0"/>
          <w:numId w:val="21"/>
        </w:numPr>
        <w:rPr>
          <w:lang w:val="cs-CZ"/>
        </w:rPr>
      </w:pPr>
      <w:r w:rsidRPr="00F86545">
        <w:rPr>
          <w:lang w:val="cs-CZ"/>
        </w:rPr>
        <w:t>V případě nekvalitně prováděného čištění místních a státních komunikací, veřejných prostranství, parkovišť, lávek a schodišť může Objednatel uplatnit za každé jednotlivé porušení kvality čištění smluvní pokutu vůči Poskytovateli do výše 1% z celkové smluvní ceny daného roku za letní čištění, a to v případě, že Poskytovatele na tyto nedostatky písemně (popř. faxem) upozornil a ten je po dobu 24 následujících hodin neodstranil. Uložení sankce však nezbavuje Poskytovatele povinnosti neprodleně odstranit zjištěnou závadu.</w:t>
      </w:r>
    </w:p>
    <w:p w14:paraId="2094424B" w14:textId="77777777" w:rsidR="00A95CA1" w:rsidRPr="00F86545" w:rsidRDefault="00A95CA1" w:rsidP="00517A82">
      <w:pPr>
        <w:pStyle w:val="Odstavecseseznamem"/>
        <w:numPr>
          <w:ilvl w:val="0"/>
          <w:numId w:val="21"/>
        </w:numPr>
        <w:rPr>
          <w:lang w:val="cs-CZ"/>
        </w:rPr>
      </w:pPr>
      <w:r w:rsidRPr="00F86545">
        <w:rPr>
          <w:lang w:val="cs-CZ"/>
        </w:rPr>
        <w:t xml:space="preserve">Při nedodržení času plnění a kvality při zajišťování ZÚ dle pořadí důležitosti údržby komunikací může Objednatel uplatnit za každé jednotlivé porušení sjednaného času a kvality údržby smluvní pokutu vůči Poskytovateli do výše 1% z celkové smluvní ceny </w:t>
      </w:r>
      <w:r w:rsidRPr="00F86545">
        <w:rPr>
          <w:lang w:val="cs-CZ"/>
        </w:rPr>
        <w:lastRenderedPageBreak/>
        <w:t>daného roku za zimní údržbu. Uložení sankce však nezbavuje Poskytovatele povinnosti neprodleně odstranit zjištěnou závadu.</w:t>
      </w:r>
    </w:p>
    <w:p w14:paraId="3A81F8A9" w14:textId="58FAFB25" w:rsidR="00A95CA1" w:rsidRPr="00F86545" w:rsidRDefault="00A95CA1" w:rsidP="00517A82">
      <w:pPr>
        <w:pStyle w:val="Odstavecseseznamem"/>
        <w:numPr>
          <w:ilvl w:val="0"/>
          <w:numId w:val="21"/>
        </w:numPr>
        <w:rPr>
          <w:lang w:val="cs-CZ"/>
        </w:rPr>
      </w:pPr>
      <w:r w:rsidRPr="00F86545">
        <w:rPr>
          <w:lang w:val="cs-CZ"/>
        </w:rPr>
        <w:t>V případě prodlení Objednatele s uhrazením faktury je Poskytovatel oprávněn účtovat</w:t>
      </w:r>
      <w:r w:rsidR="00F86545" w:rsidRPr="00F86545">
        <w:rPr>
          <w:lang w:val="cs-CZ"/>
        </w:rPr>
        <w:t xml:space="preserve"> </w:t>
      </w:r>
      <w:r w:rsidRPr="00F86545">
        <w:rPr>
          <w:lang w:val="cs-CZ"/>
        </w:rPr>
        <w:t>Objednateli smluvní pokutu ve výši 0,5% z dlužné částky za každý i započatý den v prodlení. Toto ustanovení však neplatí, bylo-li proplácení faktury pozastaveno v souladu s článkem III. odst. 3.9 Smlouvy.</w:t>
      </w:r>
    </w:p>
    <w:p w14:paraId="0F4A1A86" w14:textId="77777777" w:rsidR="00A95CA1" w:rsidRPr="00F86545" w:rsidRDefault="00A95CA1" w:rsidP="00517A82">
      <w:pPr>
        <w:pStyle w:val="Odstavecseseznamem"/>
        <w:numPr>
          <w:ilvl w:val="0"/>
          <w:numId w:val="21"/>
        </w:numPr>
        <w:rPr>
          <w:lang w:val="cs-CZ"/>
        </w:rPr>
      </w:pPr>
      <w:r w:rsidRPr="00F86545">
        <w:rPr>
          <w:lang w:val="cs-CZ"/>
        </w:rPr>
        <w:t>Při nedodržení času a kvality při poskytování služeb ve smyslu článku II. odst. 2.3 až 2.7 Smlouvy může Objednatel uplatnit za každé jednotlivé porušení sjednaného času a kvality smluvní pokutu vůči Poskytovateli do výše 1% z dílčí smluvní ceny daného roku za provádění těchto prací za každý i započatý den v prodlení. Uložení sankce však zbavuje Poskytovatele povinnosti neprodleně odstranit zjištěnou závadu.</w:t>
      </w:r>
    </w:p>
    <w:p w14:paraId="28E83BF5" w14:textId="77777777" w:rsidR="00A95CA1" w:rsidRPr="00F86545" w:rsidRDefault="00A95CA1" w:rsidP="00517A82">
      <w:pPr>
        <w:pStyle w:val="Odstavecseseznamem"/>
        <w:numPr>
          <w:ilvl w:val="0"/>
          <w:numId w:val="21"/>
        </w:numPr>
        <w:rPr>
          <w:lang w:val="cs-CZ"/>
        </w:rPr>
      </w:pPr>
      <w:r w:rsidRPr="00F86545">
        <w:rPr>
          <w:lang w:val="cs-CZ"/>
        </w:rPr>
        <w:t>Jestliže Poskytovatel neodstraní v dohodnutém termínu reklamované vady, zaplatí smluvní pokutu ve výši 1.000,-Kč (slovy: jedentisíckorunčeských) za každý i započatý den prodlení.</w:t>
      </w:r>
    </w:p>
    <w:p w14:paraId="7050DF19" w14:textId="77777777" w:rsidR="00A95CA1" w:rsidRPr="00F86545" w:rsidRDefault="00A95CA1" w:rsidP="00517A82">
      <w:pPr>
        <w:pStyle w:val="Odstavecseseznamem"/>
        <w:numPr>
          <w:ilvl w:val="0"/>
          <w:numId w:val="21"/>
        </w:numPr>
        <w:rPr>
          <w:lang w:val="cs-CZ"/>
        </w:rPr>
      </w:pPr>
      <w:r w:rsidRPr="00F86545">
        <w:rPr>
          <w:lang w:val="cs-CZ"/>
        </w:rPr>
        <w:t>Zaplacením smluvní pokuty není dotčeno právo Objednatele na náhradu škody způsobenou Poskytovatelem porušením povinností ze Smlouvy, a to v rozsahu, ve kterém není kryta smluvní pokutou.</w:t>
      </w:r>
    </w:p>
    <w:p w14:paraId="698BABA7" w14:textId="77777777" w:rsidR="00A95CA1" w:rsidRPr="00A95CA1" w:rsidRDefault="00A95CA1" w:rsidP="00A95CA1">
      <w:pPr>
        <w:rPr>
          <w:lang w:val="cs-CZ"/>
        </w:rPr>
      </w:pPr>
    </w:p>
    <w:p w14:paraId="2E452353" w14:textId="77777777" w:rsidR="00A95CA1" w:rsidRPr="00F86545" w:rsidRDefault="00A95CA1" w:rsidP="00F86545">
      <w:pPr>
        <w:jc w:val="center"/>
        <w:rPr>
          <w:b/>
          <w:bCs/>
          <w:lang w:val="cs-CZ"/>
        </w:rPr>
      </w:pPr>
      <w:r w:rsidRPr="00F86545">
        <w:rPr>
          <w:b/>
          <w:bCs/>
          <w:lang w:val="cs-CZ"/>
        </w:rPr>
        <w:t>Článek VIII.</w:t>
      </w:r>
    </w:p>
    <w:p w14:paraId="2D68F215" w14:textId="77777777" w:rsidR="00A95CA1" w:rsidRPr="00F86545" w:rsidRDefault="00A95CA1" w:rsidP="00F86545">
      <w:pPr>
        <w:jc w:val="center"/>
        <w:rPr>
          <w:b/>
          <w:bCs/>
          <w:lang w:val="cs-CZ"/>
        </w:rPr>
      </w:pPr>
      <w:r w:rsidRPr="00F86545">
        <w:rPr>
          <w:b/>
          <w:bCs/>
          <w:lang w:val="cs-CZ"/>
        </w:rPr>
        <w:t>Trvání a ukončení Smlouvy</w:t>
      </w:r>
    </w:p>
    <w:p w14:paraId="2E1BDBAF" w14:textId="77777777" w:rsidR="00A95CA1" w:rsidRPr="0019146F" w:rsidRDefault="00A95CA1" w:rsidP="00517A82">
      <w:pPr>
        <w:pStyle w:val="Odstavecseseznamem"/>
        <w:numPr>
          <w:ilvl w:val="0"/>
          <w:numId w:val="22"/>
        </w:numPr>
        <w:rPr>
          <w:lang w:val="cs-CZ"/>
        </w:rPr>
      </w:pPr>
      <w:r w:rsidRPr="0019146F">
        <w:rPr>
          <w:lang w:val="cs-CZ"/>
        </w:rPr>
        <w:t xml:space="preserve">Doba plnění předmětu díla je: od 1. 1. 2026 do 31. 12. 2033. </w:t>
      </w:r>
    </w:p>
    <w:p w14:paraId="7DC78A0F" w14:textId="77777777" w:rsidR="00A95CA1" w:rsidRPr="0019146F" w:rsidRDefault="00A95CA1" w:rsidP="00517A82">
      <w:pPr>
        <w:pStyle w:val="Odstavecseseznamem"/>
        <w:numPr>
          <w:ilvl w:val="0"/>
          <w:numId w:val="22"/>
        </w:numPr>
        <w:rPr>
          <w:lang w:val="cs-CZ"/>
        </w:rPr>
      </w:pPr>
      <w:r w:rsidRPr="0019146F">
        <w:rPr>
          <w:lang w:val="cs-CZ"/>
        </w:rPr>
        <w:t>Smlouvu lze ukončit na základě vzájemné dohody obou Smluvních stran, výpovědí Smlouvy s výpovědní lhůtou v délce 6 měsíců, která počne běžet prvním dnem kalendářního měsíce následujícího po dni doručení výpovědi druhé Smluvní straně, nebo odstoupením od Smlouvy v souladu s příslušnými ustanoveními Občanského zákoníku, přičemž účinky odstoupení nastávají dnem doručení písemného oznámení druhé Smluvní straně. Uvedené způsoby ukončení Smlouvy musejí být Smluvními stranami provedeny vždy v písemné formě s uvedením odůvodnění a tyto musejí být druhé Smluvní straně řádně doručeny.</w:t>
      </w:r>
    </w:p>
    <w:p w14:paraId="6B085835" w14:textId="77777777" w:rsidR="00A95CA1" w:rsidRPr="0019146F" w:rsidRDefault="00A95CA1" w:rsidP="00517A82">
      <w:pPr>
        <w:pStyle w:val="Odstavecseseznamem"/>
        <w:numPr>
          <w:ilvl w:val="0"/>
          <w:numId w:val="22"/>
        </w:numPr>
        <w:rPr>
          <w:lang w:val="cs-CZ"/>
        </w:rPr>
      </w:pPr>
      <w:r w:rsidRPr="0019146F">
        <w:rPr>
          <w:lang w:val="cs-CZ"/>
        </w:rPr>
        <w:t>Poskytovatel je oprávněn od Smlouvy odstoupit v souladu s Občanským zákoníkem pouze pro podstatné porušení Smlouvy ze strany Objednatele, kterým se rozumí prodlení s úhradou některé z Poskytovatelem vystavených Faktur po dobu delší než 60 kalendářních dnů. Poskytovatel je oprávněn od Smlouvy odstoupit nejdříve poté, kdy na neplnění závazků Objednatele písemně upozornil a poskytl mu odpovídající lhůtu k nápravě.</w:t>
      </w:r>
    </w:p>
    <w:p w14:paraId="3A2CE5B6" w14:textId="77777777" w:rsidR="00A95CA1" w:rsidRPr="0019146F" w:rsidRDefault="00A95CA1" w:rsidP="00517A82">
      <w:pPr>
        <w:pStyle w:val="Odstavecseseznamem"/>
        <w:numPr>
          <w:ilvl w:val="0"/>
          <w:numId w:val="22"/>
        </w:numPr>
        <w:rPr>
          <w:lang w:val="cs-CZ"/>
        </w:rPr>
      </w:pPr>
      <w:r w:rsidRPr="0019146F">
        <w:rPr>
          <w:lang w:val="cs-CZ"/>
        </w:rPr>
        <w:t>Objednatel je oprávněn odstoupit od Smlouvy v souladu s Občanským zákoníkem pro podstatné porušení Smlouvy ze strany Poskytovatele, kterým se rozumí zejména situace, kdy:</w:t>
      </w:r>
    </w:p>
    <w:p w14:paraId="677545B7" w14:textId="77777777" w:rsidR="00A95CA1" w:rsidRPr="0019146F" w:rsidRDefault="00A95CA1" w:rsidP="00517A82">
      <w:pPr>
        <w:pStyle w:val="Odstavecseseznamem"/>
        <w:numPr>
          <w:ilvl w:val="0"/>
          <w:numId w:val="23"/>
        </w:numPr>
        <w:ind w:left="993"/>
        <w:rPr>
          <w:lang w:val="cs-CZ"/>
        </w:rPr>
      </w:pPr>
      <w:r w:rsidRPr="0019146F">
        <w:rPr>
          <w:lang w:val="cs-CZ"/>
        </w:rPr>
        <w:t>Poskytovatel poskytuje služby v prokazatelně nízké kvalitě, v rozporu se Smlouvou, zadávacími podmínkami Veřejné zakázky, Nabídkou Poskytovatele, platnými právními předpisy a normami; nebo</w:t>
      </w:r>
    </w:p>
    <w:p w14:paraId="19006C14" w14:textId="77777777" w:rsidR="00A95CA1" w:rsidRPr="0019146F" w:rsidRDefault="00A95CA1" w:rsidP="00517A82">
      <w:pPr>
        <w:pStyle w:val="Odstavecseseznamem"/>
        <w:numPr>
          <w:ilvl w:val="0"/>
          <w:numId w:val="23"/>
        </w:numPr>
        <w:ind w:left="993"/>
        <w:rPr>
          <w:lang w:val="cs-CZ"/>
        </w:rPr>
      </w:pPr>
      <w:r w:rsidRPr="0019146F">
        <w:rPr>
          <w:lang w:val="cs-CZ"/>
        </w:rPr>
        <w:lastRenderedPageBreak/>
        <w:t>Poskytovatel nebude řádně a včas plnit konkrétní termíny a povinnosti dle Smlouvy; nebo</w:t>
      </w:r>
    </w:p>
    <w:p w14:paraId="403EF2A3" w14:textId="77777777" w:rsidR="00A95CA1" w:rsidRPr="0019146F" w:rsidRDefault="00A95CA1" w:rsidP="00517A82">
      <w:pPr>
        <w:pStyle w:val="Odstavecseseznamem"/>
        <w:numPr>
          <w:ilvl w:val="0"/>
          <w:numId w:val="23"/>
        </w:numPr>
        <w:ind w:left="993"/>
        <w:rPr>
          <w:lang w:val="cs-CZ"/>
        </w:rPr>
      </w:pPr>
      <w:r w:rsidRPr="0019146F">
        <w:rPr>
          <w:lang w:val="cs-CZ"/>
        </w:rPr>
        <w:t>neprokáže-li Poskytovatel trvání pojištění dle článku VI. odst. 6.6 Smlouvy.</w:t>
      </w:r>
    </w:p>
    <w:p w14:paraId="49EF39F8" w14:textId="77777777" w:rsidR="00A95CA1" w:rsidRPr="00A95CA1" w:rsidRDefault="00A95CA1" w:rsidP="00A95CA1">
      <w:pPr>
        <w:rPr>
          <w:lang w:val="cs-CZ"/>
        </w:rPr>
      </w:pPr>
      <w:r w:rsidRPr="00A95CA1">
        <w:rPr>
          <w:lang w:val="cs-CZ"/>
        </w:rPr>
        <w:t xml:space="preserve"> </w:t>
      </w:r>
    </w:p>
    <w:p w14:paraId="798FC85D" w14:textId="77777777" w:rsidR="00A95CA1" w:rsidRPr="00A95CA1" w:rsidRDefault="00A95CA1" w:rsidP="00A95CA1">
      <w:pPr>
        <w:rPr>
          <w:lang w:val="cs-CZ"/>
        </w:rPr>
      </w:pPr>
    </w:p>
    <w:p w14:paraId="1C069FDC" w14:textId="77777777" w:rsidR="00A95CA1" w:rsidRPr="00A95CA1" w:rsidRDefault="00A95CA1" w:rsidP="00A95CA1">
      <w:pPr>
        <w:rPr>
          <w:lang w:val="cs-CZ"/>
        </w:rPr>
      </w:pPr>
    </w:p>
    <w:p w14:paraId="452F6901" w14:textId="77777777" w:rsidR="00A95CA1" w:rsidRPr="0019146F" w:rsidRDefault="00A95CA1" w:rsidP="00517A82">
      <w:pPr>
        <w:pStyle w:val="Odstavecseseznamem"/>
        <w:numPr>
          <w:ilvl w:val="0"/>
          <w:numId w:val="22"/>
        </w:numPr>
        <w:rPr>
          <w:lang w:val="cs-CZ"/>
        </w:rPr>
      </w:pPr>
      <w:r w:rsidRPr="0019146F">
        <w:rPr>
          <w:lang w:val="cs-CZ"/>
        </w:rPr>
        <w:t>Odstoupení od Smlouvy se nedotýká práva na náhradu škody vzniklého z porušení smluvní povinnosti, práva na zaplacení smluvní pokuty a úroku z prodlení, pokud již dospěl. Obdobné platí pro i pro předčasné ukončení Smlouvy jiným způsobem.</w:t>
      </w:r>
    </w:p>
    <w:p w14:paraId="46DC1A0A" w14:textId="77777777" w:rsidR="00A95CA1" w:rsidRPr="0019146F" w:rsidRDefault="00A95CA1" w:rsidP="00517A82">
      <w:pPr>
        <w:pStyle w:val="Odstavecseseznamem"/>
        <w:numPr>
          <w:ilvl w:val="0"/>
          <w:numId w:val="22"/>
        </w:numPr>
        <w:rPr>
          <w:lang w:val="cs-CZ"/>
        </w:rPr>
      </w:pPr>
      <w:r w:rsidRPr="0019146F">
        <w:rPr>
          <w:lang w:val="cs-CZ"/>
        </w:rPr>
        <w:t>V případě předčasného ukončení Smlouvy dohodou, výpovědí či odstoupením jsou Smluvní strany povinny provést vypořádání vzájemných závazků v souladu s právními předpisy. Tímto nejsou dotčena ustanovení týkající se smluvních pokut a náhrady škody.</w:t>
      </w:r>
    </w:p>
    <w:p w14:paraId="04DFC0D6" w14:textId="77777777" w:rsidR="00A95CA1" w:rsidRPr="00A95CA1" w:rsidRDefault="00A95CA1" w:rsidP="00A95CA1">
      <w:pPr>
        <w:rPr>
          <w:lang w:val="cs-CZ"/>
        </w:rPr>
      </w:pPr>
    </w:p>
    <w:p w14:paraId="16F584FF" w14:textId="77777777" w:rsidR="00A95CA1" w:rsidRPr="00A95CA1" w:rsidRDefault="00A95CA1" w:rsidP="00A95CA1">
      <w:pPr>
        <w:rPr>
          <w:lang w:val="cs-CZ"/>
        </w:rPr>
      </w:pPr>
    </w:p>
    <w:p w14:paraId="3C6CE0DD" w14:textId="37FB56ED" w:rsidR="00A22B65" w:rsidRPr="00A22B65" w:rsidRDefault="00A95CA1" w:rsidP="00A22B65">
      <w:pPr>
        <w:jc w:val="center"/>
        <w:rPr>
          <w:b/>
          <w:bCs/>
          <w:lang w:val="cs-CZ"/>
        </w:rPr>
      </w:pPr>
      <w:r w:rsidRPr="00A22B65">
        <w:rPr>
          <w:b/>
          <w:bCs/>
          <w:lang w:val="cs-CZ"/>
        </w:rPr>
        <w:t>Článek IX.</w:t>
      </w:r>
    </w:p>
    <w:p w14:paraId="63FBE767" w14:textId="75258BB0" w:rsidR="00A95CA1" w:rsidRPr="00A22B65" w:rsidRDefault="00A95CA1" w:rsidP="00A22B65">
      <w:pPr>
        <w:jc w:val="center"/>
        <w:rPr>
          <w:b/>
          <w:bCs/>
          <w:lang w:val="cs-CZ"/>
        </w:rPr>
      </w:pPr>
      <w:r w:rsidRPr="00A22B65">
        <w:rPr>
          <w:b/>
          <w:bCs/>
          <w:lang w:val="cs-CZ"/>
        </w:rPr>
        <w:t>Závěrečná ustanovení</w:t>
      </w:r>
    </w:p>
    <w:p w14:paraId="2F0C448D" w14:textId="77777777" w:rsidR="00CD0FF7" w:rsidRDefault="00CD0FF7" w:rsidP="00517A82">
      <w:pPr>
        <w:pStyle w:val="Bezmezer"/>
        <w:numPr>
          <w:ilvl w:val="0"/>
          <w:numId w:val="12"/>
        </w:numPr>
        <w:spacing w:after="0"/>
        <w:ind w:left="709" w:hanging="284"/>
      </w:pPr>
      <w:r w:rsidRPr="005B7D78">
        <w:t>Tato smlouva může být upravována a měněna pouze se souhlasem obou smluvních stran. Tyto změny musí být provedeny písemně formou číslovaného dodatku ke smlouvě</w:t>
      </w:r>
      <w:r>
        <w:t>.</w:t>
      </w:r>
    </w:p>
    <w:p w14:paraId="04AE9D9B" w14:textId="77777777" w:rsidR="00CD0FF7" w:rsidRPr="00EF5044" w:rsidRDefault="00CD0FF7" w:rsidP="00517A82">
      <w:pPr>
        <w:pStyle w:val="Bezmezer"/>
        <w:numPr>
          <w:ilvl w:val="0"/>
          <w:numId w:val="12"/>
        </w:numPr>
        <w:spacing w:after="0"/>
        <w:ind w:left="709" w:hanging="284"/>
        <w:rPr>
          <w:lang w:val="cs-CZ"/>
        </w:rPr>
      </w:pPr>
      <w:r w:rsidRPr="00EF5044">
        <w:rPr>
          <w:lang w:val="cs-CZ"/>
        </w:rPr>
        <w:t>Dodavatel není oprávněn bez předchozího písemného souhlasu Objednatele postoupit práva a povinnosti vyplývající z této smlouvy třetí osobě. Dodavatel stejně tak není oprávněn bez předchozího písemného souhlasu postoupit pohledávky za Objednatelem dle této smlouvy třetí osobě.</w:t>
      </w:r>
      <w:r w:rsidRPr="00EF5044">
        <w:t xml:space="preserve"> </w:t>
      </w:r>
    </w:p>
    <w:p w14:paraId="39E1089E" w14:textId="77777777" w:rsidR="00CD0FF7" w:rsidRPr="00B17E07" w:rsidRDefault="00CD0FF7" w:rsidP="00517A82">
      <w:pPr>
        <w:pStyle w:val="Bezmezer"/>
        <w:numPr>
          <w:ilvl w:val="0"/>
          <w:numId w:val="12"/>
        </w:numPr>
        <w:spacing w:after="0"/>
        <w:ind w:left="709" w:hanging="284"/>
        <w:rPr>
          <w:lang w:val="cs-CZ"/>
        </w:rPr>
      </w:pPr>
      <w:r w:rsidRPr="00EF5044">
        <w:rPr>
          <w:lang w:val="cs-CZ"/>
        </w:rPr>
        <w:t>Dodavatel je na základě § 2e) zákona č. 320/2001 Sb. o finanční kontrole osobou povinnou spolupůsobit při výkonu finanční kontroly. Dodavatel je v tomto případě povinen vykonat veškerou součinnost s kontrolou.</w:t>
      </w:r>
    </w:p>
    <w:p w14:paraId="09146FEA" w14:textId="77777777" w:rsidR="00CD0FF7" w:rsidRPr="00E21C9F" w:rsidRDefault="00CD0FF7" w:rsidP="00517A82">
      <w:pPr>
        <w:pStyle w:val="Bezmezer"/>
        <w:numPr>
          <w:ilvl w:val="0"/>
          <w:numId w:val="12"/>
        </w:numPr>
        <w:spacing w:after="0"/>
        <w:ind w:left="709" w:hanging="284"/>
      </w:pPr>
      <w:r>
        <w:t>Tato s</w:t>
      </w:r>
      <w:r w:rsidRPr="00E21C9F">
        <w:t>mlouva se řídí českým právním řádem. Obě strany se dohodly, že pro neupravené vztahy plynoucí z této smlouvy platí příslušná ustanovení občanského zákoníku.</w:t>
      </w:r>
    </w:p>
    <w:p w14:paraId="701627AA" w14:textId="77777777" w:rsidR="00CD0FF7" w:rsidRDefault="00CD0FF7" w:rsidP="00AD1664">
      <w:pPr>
        <w:pStyle w:val="Bezmezer"/>
        <w:spacing w:after="0"/>
        <w:ind w:left="709" w:hanging="284"/>
      </w:pPr>
      <w:r w:rsidRPr="00E21C9F">
        <w:t>Smluvní strany se dohodly, že případné spory budou přednostně řešeny dohodou. V případě, že nedojde k dohodě stran, bude spor řešen místně a věcně příslušným soudem.</w:t>
      </w:r>
    </w:p>
    <w:p w14:paraId="1CFCA5C9" w14:textId="77777777" w:rsidR="00CD0FF7" w:rsidRPr="00481153" w:rsidRDefault="00CD0FF7" w:rsidP="00AD1664">
      <w:pPr>
        <w:pStyle w:val="Bezmezer"/>
        <w:spacing w:after="0"/>
        <w:ind w:left="709" w:hanging="284"/>
      </w:pPr>
      <w:r>
        <w:t xml:space="preserve">V případě, že </w:t>
      </w:r>
      <w:r w:rsidRPr="00481153">
        <w:rPr>
          <w:lang w:val="cs-CZ"/>
        </w:rPr>
        <w:t>některá ze smluvních stran odmítne převzít písemnost nebo její převzetí znemožní, se má za to, že písemnost byla doručena</w:t>
      </w:r>
      <w:r>
        <w:rPr>
          <w:lang w:val="cs-CZ"/>
        </w:rPr>
        <w:t>.</w:t>
      </w:r>
    </w:p>
    <w:p w14:paraId="2370E1C5" w14:textId="77777777" w:rsidR="00CD0FF7" w:rsidRPr="000E47CF" w:rsidRDefault="00CD0FF7" w:rsidP="00AD1664">
      <w:pPr>
        <w:pStyle w:val="Bezmezer"/>
        <w:spacing w:after="0"/>
        <w:ind w:left="709" w:hanging="284"/>
      </w:pPr>
      <w:r>
        <w:rPr>
          <w:lang w:val="cs-CZ"/>
        </w:rPr>
        <w:t xml:space="preserve">V případě, že </w:t>
      </w:r>
      <w:r w:rsidRPr="007634D2">
        <w:rPr>
          <w:lang w:val="cs-CZ"/>
        </w:rPr>
        <w:t>ze závažných objektivních důvodů není dočasně možno plnit některé ustanovení této smlouvy, smluvní strany jsou povinny se vzájemně bezodkladně informovat a domluvit se na dalším postupu</w:t>
      </w:r>
    </w:p>
    <w:p w14:paraId="3C91FC90" w14:textId="77777777" w:rsidR="00CD0FF7" w:rsidRPr="000E47CF" w:rsidRDefault="00CD0FF7" w:rsidP="00AD1664">
      <w:pPr>
        <w:pStyle w:val="Bezmezer"/>
        <w:spacing w:after="0"/>
        <w:ind w:left="709" w:hanging="284"/>
        <w:rPr>
          <w:lang w:val="cs-CZ"/>
        </w:rPr>
      </w:pPr>
      <w:r>
        <w:rPr>
          <w:lang w:val="cs-CZ"/>
        </w:rPr>
        <w:lastRenderedPageBreak/>
        <w:t xml:space="preserve">Kontaktní osoby </w:t>
      </w:r>
      <w:r w:rsidRPr="000E47CF">
        <w:rPr>
          <w:lang w:val="cs-CZ"/>
        </w:rPr>
        <w:t>Kontaktní osoby smluvních stran ve věci této smlouvy jsou uvedeny v hlavičce této smlouvy. Každá ze smluvních stran je oprávněna tuto kontaktní osobu změnit písemným oznámením o změně doručeným kontaktní osobě druhé smluvní strany. Změna je účinná okamžikem potvrzení doručení změny v kontaktní osobě druhou smluvní stranou.</w:t>
      </w:r>
    </w:p>
    <w:p w14:paraId="4792EA6B" w14:textId="77777777" w:rsidR="00CD0FF7" w:rsidRPr="00AE03FB" w:rsidRDefault="00CD0FF7" w:rsidP="00AD1664">
      <w:pPr>
        <w:pStyle w:val="Bezmezer"/>
        <w:spacing w:after="0"/>
        <w:ind w:left="709" w:hanging="284"/>
        <w:rPr>
          <w:lang w:val="cs-CZ"/>
        </w:rPr>
      </w:pPr>
      <w:r w:rsidRPr="00AE03FB">
        <w:rPr>
          <w:lang w:val="cs-CZ"/>
        </w:rPr>
        <w:t xml:space="preserve">Smluvní strany se výslovně dohodly, že veškeré údaje obsažené ve </w:t>
      </w:r>
      <w:r>
        <w:rPr>
          <w:lang w:val="cs-CZ"/>
        </w:rPr>
        <w:t>s</w:t>
      </w:r>
      <w:r w:rsidRPr="00AE03FB">
        <w:rPr>
          <w:lang w:val="cs-CZ"/>
        </w:rPr>
        <w:t xml:space="preserve">mlouvě, včetně jejích dodatků a příloh, jsou </w:t>
      </w:r>
      <w:r>
        <w:rPr>
          <w:lang w:val="cs-CZ"/>
        </w:rPr>
        <w:t>s</w:t>
      </w:r>
      <w:r w:rsidRPr="00AE03FB">
        <w:rPr>
          <w:lang w:val="cs-CZ"/>
        </w:rPr>
        <w:t xml:space="preserve">mluvní strany oprávněny zveřejnit, a to jakýmkoliv způsobem, přičemž obsah </w:t>
      </w:r>
      <w:r>
        <w:rPr>
          <w:lang w:val="cs-CZ"/>
        </w:rPr>
        <w:t>s</w:t>
      </w:r>
      <w:r w:rsidRPr="00AE03FB">
        <w:rPr>
          <w:lang w:val="cs-CZ"/>
        </w:rPr>
        <w:t>mlouvy, jejích dodatků a příloh, se nepovažuje za obchodní tajemství. Tento souhlas se týká i takových údajů, jejichž ochrana je regulována předpisy na ochranu osobních údajů (zejména zákonem č. 101/2000 Sb., o ochraně osobních údajů a o změně některých zákonů, v platném znění (dále jen „</w:t>
      </w:r>
      <w:r w:rsidRPr="002D06E4">
        <w:rPr>
          <w:bCs/>
          <w:lang w:val="cs-CZ"/>
        </w:rPr>
        <w:t>zákon o ochraně osobních údajů</w:t>
      </w:r>
      <w:r w:rsidRPr="00AE03FB">
        <w:rPr>
          <w:lang w:val="cs-CZ"/>
        </w:rPr>
        <w:t xml:space="preserve">“), tzn. i osobních a citlivých údajů, včetně podoby podpisu. Smluvní strany dávají zároveň tímto Objednateli svůj výslovný souhlas ve smyslu </w:t>
      </w:r>
      <w:r>
        <w:rPr>
          <w:lang w:val="cs-CZ"/>
        </w:rPr>
        <w:t>z</w:t>
      </w:r>
      <w:r w:rsidRPr="00AE03FB">
        <w:rPr>
          <w:lang w:val="cs-CZ"/>
        </w:rPr>
        <w:t xml:space="preserve">ákona o ochraně osobních údajů se zpracováním veškerých ve </w:t>
      </w:r>
      <w:r>
        <w:rPr>
          <w:lang w:val="cs-CZ"/>
        </w:rPr>
        <w:t>s</w:t>
      </w:r>
      <w:r w:rsidRPr="00AE03FB">
        <w:rPr>
          <w:lang w:val="cs-CZ"/>
        </w:rPr>
        <w:t xml:space="preserve">mlouvě uvedených osobních údajů, včetně údajů citlivých, na dobu neurčitou, za účelem splnění smluvních povinností, evidence </w:t>
      </w:r>
      <w:r>
        <w:rPr>
          <w:lang w:val="cs-CZ"/>
        </w:rPr>
        <w:t>s</w:t>
      </w:r>
      <w:r w:rsidRPr="00AE03FB">
        <w:rPr>
          <w:lang w:val="cs-CZ"/>
        </w:rPr>
        <w:t xml:space="preserve">mlouvy a zpřístupnění obsahu </w:t>
      </w:r>
      <w:r>
        <w:rPr>
          <w:lang w:val="cs-CZ"/>
        </w:rPr>
        <w:t>s</w:t>
      </w:r>
      <w:r w:rsidRPr="00AE03FB">
        <w:rPr>
          <w:lang w:val="cs-CZ"/>
        </w:rPr>
        <w:t>mlouvy veřejnosti.</w:t>
      </w:r>
    </w:p>
    <w:p w14:paraId="6A37D6FF" w14:textId="77777777" w:rsidR="00CD0FF7" w:rsidRPr="005C1047" w:rsidRDefault="00CD0FF7" w:rsidP="00AD1664">
      <w:pPr>
        <w:pStyle w:val="Bezmezer"/>
        <w:spacing w:after="0"/>
        <w:ind w:left="709" w:hanging="284"/>
        <w:rPr>
          <w:lang w:val="cs-CZ"/>
        </w:rPr>
      </w:pPr>
      <w:r w:rsidRPr="00D76EEE">
        <w:rPr>
          <w:lang w:val="cs-CZ"/>
        </w:rPr>
        <w:t xml:space="preserve">Smluvní strany berou na vědomí, že </w:t>
      </w:r>
      <w:r>
        <w:rPr>
          <w:lang w:val="cs-CZ"/>
        </w:rPr>
        <w:t>s</w:t>
      </w:r>
      <w:r w:rsidRPr="00D76EEE">
        <w:rPr>
          <w:lang w:val="cs-CZ"/>
        </w:rPr>
        <w:t>mlouva bude zveřejněna v registru smluv dle zákona č. 340/2015 Sb., o zvláštních podmínkách účinnosti některých smluv, uveřejňování těchto smluv a o registru smluv (zákon o registru smluv), v platném znění (dále jen „</w:t>
      </w:r>
      <w:r w:rsidRPr="00A0572F">
        <w:rPr>
          <w:bCs/>
          <w:lang w:val="cs-CZ"/>
        </w:rPr>
        <w:t>zákon o registru smluv</w:t>
      </w:r>
      <w:r w:rsidRPr="00D76EEE">
        <w:rPr>
          <w:lang w:val="cs-CZ"/>
        </w:rPr>
        <w:t xml:space="preserve">“), jelikož je Objednatel povinnou osobou ve smyslu Zákona o registru smluv a Dodavatel s jejím zveřejněním souhlasí. Zveřejnění se zavazuje zajistit Objednatel do 30 dnů od podpisu </w:t>
      </w:r>
      <w:r>
        <w:rPr>
          <w:lang w:val="cs-CZ"/>
        </w:rPr>
        <w:t>s</w:t>
      </w:r>
      <w:r w:rsidRPr="00D76EEE">
        <w:rPr>
          <w:lang w:val="cs-CZ"/>
        </w:rPr>
        <w:t xml:space="preserve">mlouvy oběma </w:t>
      </w:r>
      <w:r>
        <w:rPr>
          <w:lang w:val="cs-CZ"/>
        </w:rPr>
        <w:t>s</w:t>
      </w:r>
      <w:r w:rsidRPr="00D76EEE">
        <w:rPr>
          <w:lang w:val="cs-CZ"/>
        </w:rPr>
        <w:t>mluvními stranami.</w:t>
      </w:r>
      <w:r w:rsidRPr="005C1047">
        <w:t xml:space="preserve"> </w:t>
      </w:r>
    </w:p>
    <w:p w14:paraId="7B3FE374" w14:textId="77777777" w:rsidR="00CD0FF7" w:rsidRPr="005C1047" w:rsidRDefault="00CD0FF7" w:rsidP="00AD1664">
      <w:pPr>
        <w:pStyle w:val="Bezmezer"/>
        <w:spacing w:after="0"/>
        <w:ind w:left="709" w:hanging="284"/>
        <w:rPr>
          <w:lang w:val="cs-CZ"/>
        </w:rPr>
      </w:pPr>
      <w:r>
        <w:t>S</w:t>
      </w:r>
      <w:r w:rsidRPr="005C1047">
        <w:rPr>
          <w:lang w:val="cs-CZ"/>
        </w:rPr>
        <w:t>tane-li se některé ustanovení této smlouvy neplatné nebo neúčinné, nemá tato skutečnost vliv na platnost celé smlouvy, ledaže by tato neplatnost měla za následek zmaření účelu této smlouvy. Smluvní strany se zavazují nahradit takové ustanovení novým, které bude odpovídat účelu původního ustanovení, pokud se nedohodnou jinak.</w:t>
      </w:r>
    </w:p>
    <w:p w14:paraId="5D05CBC8" w14:textId="77777777" w:rsidR="00CD0FF7" w:rsidRDefault="00CD0FF7" w:rsidP="00AD1664">
      <w:pPr>
        <w:pStyle w:val="Bezmezer"/>
        <w:spacing w:after="0"/>
        <w:ind w:left="709" w:hanging="284"/>
        <w:rPr>
          <w:lang w:val="cs-CZ"/>
        </w:rPr>
      </w:pPr>
      <w:r w:rsidRPr="002F2308">
        <w:rPr>
          <w:lang w:val="cs-CZ"/>
        </w:rPr>
        <w:t xml:space="preserve">Tato smlouva nabývá </w:t>
      </w:r>
      <w:r>
        <w:rPr>
          <w:lang w:val="cs-CZ"/>
        </w:rPr>
        <w:t>platnosti</w:t>
      </w:r>
      <w:r w:rsidRPr="002F2308">
        <w:rPr>
          <w:lang w:val="cs-CZ"/>
        </w:rPr>
        <w:t xml:space="preserve"> dnem podpisu oběma stranami</w:t>
      </w:r>
      <w:r>
        <w:rPr>
          <w:lang w:val="cs-CZ"/>
        </w:rPr>
        <w:t xml:space="preserve"> a účinnosti dnem zveřejnění v registru smluv.</w:t>
      </w:r>
    </w:p>
    <w:p w14:paraId="42678E33" w14:textId="77777777" w:rsidR="00CD0FF7" w:rsidRDefault="00CD0FF7" w:rsidP="00AD1664">
      <w:pPr>
        <w:pStyle w:val="Bezmezer"/>
        <w:spacing w:after="0"/>
        <w:ind w:left="709" w:hanging="284"/>
        <w:rPr>
          <w:lang w:val="cs-CZ"/>
        </w:rPr>
      </w:pPr>
      <w:r w:rsidRPr="002F2308">
        <w:rPr>
          <w:lang w:val="cs-CZ"/>
        </w:rPr>
        <w:t xml:space="preserve"> Smluvní strany prohlašují, že si smlouvu přečetly, jejímu obsahu porozuměly a</w:t>
      </w:r>
      <w:r>
        <w:rPr>
          <w:lang w:val="cs-CZ"/>
        </w:rPr>
        <w:t> </w:t>
      </w:r>
      <w:r w:rsidRPr="002F2308">
        <w:rPr>
          <w:lang w:val="cs-CZ"/>
        </w:rPr>
        <w:t>souhlasí s</w:t>
      </w:r>
      <w:r>
        <w:rPr>
          <w:lang w:val="cs-CZ"/>
        </w:rPr>
        <w:t> </w:t>
      </w:r>
      <w:r w:rsidRPr="002F2308">
        <w:rPr>
          <w:lang w:val="cs-CZ"/>
        </w:rPr>
        <w:t>ním.</w:t>
      </w:r>
    </w:p>
    <w:p w14:paraId="19C70C80" w14:textId="77777777" w:rsidR="00CD0FF7" w:rsidRDefault="00CD0FF7" w:rsidP="00AD1664">
      <w:pPr>
        <w:pStyle w:val="Bezmezer"/>
        <w:spacing w:after="0"/>
        <w:ind w:left="709" w:hanging="284"/>
      </w:pPr>
      <w:r w:rsidRPr="00E21C9F">
        <w:t xml:space="preserve">Obě strany smlouvy prohlašují, že si smlouvu přečetly, s jejím obsahem souhlasí </w:t>
      </w:r>
      <w:r>
        <w:t xml:space="preserve">a porozuměly mu, </w:t>
      </w:r>
      <w:r w:rsidRPr="00E21C9F">
        <w:t>a že</w:t>
      </w:r>
      <w:r>
        <w:t xml:space="preserve"> </w:t>
      </w:r>
      <w:r w:rsidRPr="00E21C9F">
        <w:t>b</w:t>
      </w:r>
      <w:r>
        <w:t>y</w:t>
      </w:r>
      <w:r w:rsidRPr="00E21C9F">
        <w:t>la sepsána na základě jejich pravé a svobodné vůle, prosté omylů.</w:t>
      </w:r>
    </w:p>
    <w:p w14:paraId="04375967" w14:textId="77777777" w:rsidR="00CD0FF7" w:rsidRDefault="00CD0FF7" w:rsidP="00AD1664">
      <w:pPr>
        <w:pStyle w:val="Bezmezer"/>
        <w:spacing w:after="0"/>
        <w:ind w:left="709" w:hanging="284"/>
      </w:pPr>
      <w:r w:rsidRPr="00814823">
        <w:t>Doložka schválení podle § 41 zákona č. 128/2000 Sb., o obcích, ve znění pozdějších předpisů: tato smlouva byla schválena Radou města Ostrov usnesením č. ……………RM ze</w:t>
      </w:r>
      <w:r>
        <w:t> </w:t>
      </w:r>
      <w:r w:rsidRPr="00814823">
        <w:t>dne …... ….. 2025.</w:t>
      </w:r>
    </w:p>
    <w:p w14:paraId="2AC2DF7C" w14:textId="44234FDD" w:rsidR="00517A82" w:rsidRPr="003E5191" w:rsidRDefault="00517A82" w:rsidP="00AD1664">
      <w:pPr>
        <w:pStyle w:val="Bezmezer"/>
        <w:spacing w:after="0"/>
        <w:ind w:left="709" w:hanging="284"/>
      </w:pPr>
      <w:r>
        <w:t>Smlouva je uzavřena elektronicky</w:t>
      </w:r>
    </w:p>
    <w:p w14:paraId="44F90276" w14:textId="77777777" w:rsidR="00B15603" w:rsidRPr="00A95CA1" w:rsidRDefault="00B15603" w:rsidP="00A95CA1">
      <w:pPr>
        <w:rPr>
          <w:lang w:val="cs-CZ"/>
        </w:rPr>
      </w:pPr>
    </w:p>
    <w:p w14:paraId="00710BCB" w14:textId="77777777" w:rsidR="00A95CA1" w:rsidRDefault="00A95CA1" w:rsidP="00A95CA1">
      <w:pPr>
        <w:rPr>
          <w:lang w:val="cs-CZ"/>
        </w:rPr>
      </w:pPr>
      <w:r w:rsidRPr="00A95CA1">
        <w:rPr>
          <w:lang w:val="cs-CZ"/>
        </w:rPr>
        <w:t>Nedílnou součástí Smlouvy jsou tyto přílohy:</w:t>
      </w:r>
    </w:p>
    <w:p w14:paraId="522D3EF0" w14:textId="77777777" w:rsidR="00517A82" w:rsidRPr="00A95CA1" w:rsidRDefault="00517A82" w:rsidP="00A95CA1">
      <w:pPr>
        <w:rPr>
          <w:lang w:val="cs-CZ"/>
        </w:rPr>
      </w:pPr>
    </w:p>
    <w:p w14:paraId="0BDE087F" w14:textId="77777777" w:rsidR="00A95CA1" w:rsidRPr="00A95CA1" w:rsidRDefault="00A95CA1" w:rsidP="00A95CA1">
      <w:pPr>
        <w:rPr>
          <w:lang w:val="cs-CZ"/>
        </w:rPr>
      </w:pPr>
      <w:r w:rsidRPr="00A95CA1">
        <w:rPr>
          <w:lang w:val="cs-CZ"/>
        </w:rPr>
        <w:t>Příloha č. 1 – Plán zimní údržby místních komunikací;</w:t>
      </w:r>
    </w:p>
    <w:p w14:paraId="5FF8A7E2" w14:textId="77777777" w:rsidR="00A95CA1" w:rsidRPr="005E0E11" w:rsidRDefault="00A95CA1" w:rsidP="00A95CA1">
      <w:pPr>
        <w:rPr>
          <w:b/>
          <w:bCs/>
          <w:lang w:val="cs-CZ"/>
        </w:rPr>
      </w:pPr>
      <w:r w:rsidRPr="005E0E11">
        <w:rPr>
          <w:b/>
          <w:bCs/>
          <w:lang w:val="cs-CZ"/>
        </w:rPr>
        <w:t>Příloha č. 2 – Ceník čištění, zimní údržby;</w:t>
      </w:r>
    </w:p>
    <w:p w14:paraId="697B4D0D" w14:textId="782DF7A5" w:rsidR="00A95CA1" w:rsidRPr="00A95CA1" w:rsidRDefault="00A95CA1" w:rsidP="00A95CA1">
      <w:pPr>
        <w:rPr>
          <w:lang w:val="cs-CZ"/>
        </w:rPr>
      </w:pPr>
      <w:r w:rsidRPr="00A95CA1">
        <w:rPr>
          <w:lang w:val="cs-CZ"/>
        </w:rPr>
        <w:t>Příloha č. 3 – Seznam poddodavatelů.</w:t>
      </w:r>
    </w:p>
    <w:p w14:paraId="024A14C8" w14:textId="6106E0E9" w:rsidR="00852221" w:rsidRPr="00117842" w:rsidRDefault="00852221" w:rsidP="00852221">
      <w:pPr>
        <w:rPr>
          <w:rFonts w:cs="Open Sans"/>
          <w:lang w:val="cs-CZ"/>
        </w:rPr>
      </w:pPr>
    </w:p>
    <w:p w14:paraId="73B1EB0C" w14:textId="0AB8F695" w:rsidR="00533436" w:rsidRPr="00533436" w:rsidRDefault="00533436" w:rsidP="00585BF8">
      <w:pPr>
        <w:spacing w:after="720" w:line="276" w:lineRule="auto"/>
        <w:rPr>
          <w:rFonts w:eastAsia="Calibri" w:cs="Open Sans"/>
          <w:i/>
          <w:highlight w:val="yellow"/>
          <w:lang w:val="cs-CZ"/>
        </w:rPr>
      </w:pPr>
      <w:r w:rsidRPr="00533436">
        <w:rPr>
          <w:rFonts w:eastAsia="Calibri" w:cs="Open Sans"/>
          <w:i/>
          <w:highlight w:val="yellow"/>
          <w:lang w:val="cs-CZ"/>
        </w:rPr>
        <w:t xml:space="preserve"> </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670"/>
      </w:tblGrid>
      <w:tr w:rsidR="00585BF8" w:rsidRPr="00585BF8" w14:paraId="75AEFD18" w14:textId="77777777" w:rsidTr="006A0A59">
        <w:trPr>
          <w:trHeight w:val="2400"/>
        </w:trPr>
        <w:tc>
          <w:tcPr>
            <w:tcW w:w="4814" w:type="dxa"/>
          </w:tcPr>
          <w:p w14:paraId="001153CE" w14:textId="77777777" w:rsidR="00585BF8" w:rsidRPr="00585BF8" w:rsidRDefault="00585BF8" w:rsidP="00585BF8">
            <w:pPr>
              <w:spacing w:after="0"/>
              <w:rPr>
                <w:rFonts w:eastAsia="Calibri" w:cs="Open Sans"/>
              </w:rPr>
            </w:pPr>
            <w:r w:rsidRPr="00585BF8">
              <w:rPr>
                <w:rFonts w:eastAsia="Calibri" w:cs="Open Sans"/>
              </w:rPr>
              <w:t>V Ostrově dne .........................</w:t>
            </w:r>
          </w:p>
          <w:p w14:paraId="33C8B4E4" w14:textId="77777777" w:rsidR="00585BF8" w:rsidRPr="00585BF8" w:rsidRDefault="00585BF8" w:rsidP="00585BF8">
            <w:pPr>
              <w:spacing w:after="0"/>
              <w:rPr>
                <w:rFonts w:eastAsia="Calibri" w:cs="Open Sans"/>
              </w:rPr>
            </w:pPr>
          </w:p>
          <w:p w14:paraId="35D06B5E" w14:textId="77777777" w:rsidR="00585BF8" w:rsidRPr="00585BF8" w:rsidRDefault="00585BF8" w:rsidP="00585BF8">
            <w:pPr>
              <w:spacing w:after="0"/>
              <w:rPr>
                <w:rFonts w:eastAsia="Calibri" w:cs="Open Sans"/>
              </w:rPr>
            </w:pPr>
            <w:r w:rsidRPr="00585BF8">
              <w:rPr>
                <w:rFonts w:eastAsia="Calibri" w:cs="Open Sans"/>
              </w:rPr>
              <w:t>Za Objednatele:</w:t>
            </w:r>
          </w:p>
          <w:p w14:paraId="17B3C2C7" w14:textId="77777777" w:rsidR="00585BF8" w:rsidRPr="00585BF8" w:rsidRDefault="00585BF8" w:rsidP="00585BF8">
            <w:pPr>
              <w:spacing w:after="0"/>
              <w:rPr>
                <w:rFonts w:eastAsia="Calibri" w:cs="Open Sans"/>
              </w:rPr>
            </w:pPr>
          </w:p>
          <w:p w14:paraId="664406A9" w14:textId="77777777" w:rsidR="00585BF8" w:rsidRPr="00585BF8" w:rsidRDefault="00585BF8" w:rsidP="00585BF8">
            <w:pPr>
              <w:spacing w:after="0"/>
              <w:rPr>
                <w:rFonts w:eastAsia="Calibri" w:cs="Open Sans"/>
              </w:rPr>
            </w:pPr>
          </w:p>
          <w:p w14:paraId="5AC06E57" w14:textId="77777777" w:rsidR="00585BF8" w:rsidRPr="00585BF8" w:rsidRDefault="00585BF8" w:rsidP="00585BF8">
            <w:pPr>
              <w:spacing w:after="0"/>
              <w:rPr>
                <w:rFonts w:eastAsia="Calibri" w:cs="Open Sans"/>
              </w:rPr>
            </w:pPr>
          </w:p>
          <w:p w14:paraId="2355DD7E" w14:textId="77777777" w:rsidR="00585BF8" w:rsidRPr="00585BF8" w:rsidRDefault="00585BF8" w:rsidP="00585BF8">
            <w:pPr>
              <w:spacing w:after="0"/>
              <w:rPr>
                <w:rFonts w:eastAsia="Calibri" w:cs="Open Sans"/>
              </w:rPr>
            </w:pPr>
          </w:p>
          <w:p w14:paraId="301EF51B" w14:textId="77777777" w:rsidR="00585BF8" w:rsidRPr="00585BF8" w:rsidRDefault="00585BF8" w:rsidP="00585BF8">
            <w:pPr>
              <w:spacing w:after="0"/>
              <w:rPr>
                <w:rFonts w:eastAsia="Calibri" w:cs="Open Sans"/>
              </w:rPr>
            </w:pPr>
          </w:p>
          <w:p w14:paraId="2EADC77B" w14:textId="77777777" w:rsidR="00585BF8" w:rsidRPr="00585BF8" w:rsidRDefault="00585BF8" w:rsidP="00585BF8">
            <w:pPr>
              <w:spacing w:after="0"/>
              <w:rPr>
                <w:rFonts w:eastAsia="Calibri" w:cs="Open Sans"/>
              </w:rPr>
            </w:pPr>
            <w:r w:rsidRPr="00585BF8">
              <w:rPr>
                <w:rFonts w:eastAsia="Calibri" w:cs="Open Sans"/>
              </w:rPr>
              <w:t>…………………………………………</w:t>
            </w:r>
            <w:r w:rsidRPr="00585BF8">
              <w:rPr>
                <w:rFonts w:eastAsia="Calibri" w:cs="Open Sans"/>
              </w:rPr>
              <w:tab/>
            </w:r>
          </w:p>
          <w:p w14:paraId="5BCA75C6" w14:textId="77777777" w:rsidR="00585BF8" w:rsidRPr="00585BF8" w:rsidRDefault="00585BF8" w:rsidP="00585BF8">
            <w:pPr>
              <w:spacing w:after="0"/>
              <w:rPr>
                <w:rFonts w:eastAsia="Calibri" w:cs="Open Sans"/>
              </w:rPr>
            </w:pPr>
            <w:r w:rsidRPr="00585BF8">
              <w:rPr>
                <w:rFonts w:eastAsia="Calibri" w:cs="Open Sans"/>
              </w:rPr>
              <w:t xml:space="preserve">Bc. Pavel Čekan,  </w:t>
            </w:r>
          </w:p>
          <w:p w14:paraId="011520B3" w14:textId="77777777" w:rsidR="00585BF8" w:rsidRPr="00585BF8" w:rsidRDefault="00585BF8" w:rsidP="00585BF8">
            <w:pPr>
              <w:spacing w:after="0"/>
              <w:rPr>
                <w:rFonts w:eastAsia="Calibri" w:cs="Open Sans"/>
              </w:rPr>
            </w:pPr>
            <w:r w:rsidRPr="00585BF8">
              <w:rPr>
                <w:rFonts w:eastAsia="Calibri" w:cs="Open Sans"/>
              </w:rPr>
              <w:t>starosta města</w:t>
            </w:r>
          </w:p>
        </w:tc>
        <w:tc>
          <w:tcPr>
            <w:tcW w:w="4814" w:type="dxa"/>
          </w:tcPr>
          <w:p w14:paraId="2294187E" w14:textId="77777777" w:rsidR="00585BF8" w:rsidRPr="00585BF8" w:rsidRDefault="00585BF8" w:rsidP="00585BF8">
            <w:pPr>
              <w:spacing w:after="0"/>
              <w:rPr>
                <w:rFonts w:eastAsia="Calibri" w:cs="Open Sans"/>
              </w:rPr>
            </w:pPr>
            <w:r w:rsidRPr="00585BF8">
              <w:rPr>
                <w:rFonts w:eastAsia="Calibri" w:cs="Open Sans"/>
              </w:rPr>
              <w:t xml:space="preserve">V </w:t>
            </w:r>
            <w:r w:rsidRPr="00585BF8">
              <w:rPr>
                <w:rFonts w:eastAsia="Calibri" w:cs="Open Sans"/>
                <w:highlight w:val="yellow"/>
              </w:rPr>
              <w:fldChar w:fldCharType="begin">
                <w:ffData>
                  <w:name w:val="Text15"/>
                  <w:enabled/>
                  <w:calcOnExit w:val="0"/>
                  <w:textInput/>
                </w:ffData>
              </w:fldChar>
            </w:r>
            <w:r w:rsidRPr="00585BF8">
              <w:rPr>
                <w:rFonts w:eastAsia="Calibri" w:cs="Open Sans"/>
                <w:highlight w:val="yellow"/>
              </w:rPr>
              <w:instrText xml:space="preserve"> FORMTEXT </w:instrText>
            </w:r>
            <w:r w:rsidRPr="00585BF8">
              <w:rPr>
                <w:rFonts w:eastAsia="Calibri" w:cs="Open Sans"/>
                <w:highlight w:val="yellow"/>
              </w:rPr>
            </w:r>
            <w:r w:rsidRPr="00585BF8">
              <w:rPr>
                <w:rFonts w:eastAsia="Calibri" w:cs="Open Sans"/>
                <w:highlight w:val="yellow"/>
              </w:rPr>
              <w:fldChar w:fldCharType="separate"/>
            </w:r>
            <w:r w:rsidRPr="00585BF8">
              <w:rPr>
                <w:rFonts w:eastAsia="Calibri" w:cs="Open Sans"/>
                <w:noProof/>
                <w:highlight w:val="yellow"/>
              </w:rPr>
              <w:t> </w:t>
            </w:r>
            <w:r w:rsidRPr="00585BF8">
              <w:rPr>
                <w:rFonts w:eastAsia="Calibri" w:cs="Open Sans"/>
                <w:noProof/>
                <w:highlight w:val="yellow"/>
              </w:rPr>
              <w:t> </w:t>
            </w:r>
            <w:r w:rsidRPr="00585BF8">
              <w:rPr>
                <w:rFonts w:eastAsia="Calibri" w:cs="Open Sans"/>
                <w:noProof/>
                <w:highlight w:val="yellow"/>
              </w:rPr>
              <w:t> </w:t>
            </w:r>
            <w:r w:rsidRPr="00585BF8">
              <w:rPr>
                <w:rFonts w:eastAsia="Calibri" w:cs="Open Sans"/>
                <w:noProof/>
                <w:highlight w:val="yellow"/>
              </w:rPr>
              <w:t> </w:t>
            </w:r>
            <w:r w:rsidRPr="00585BF8">
              <w:rPr>
                <w:rFonts w:eastAsia="Calibri" w:cs="Open Sans"/>
                <w:noProof/>
                <w:highlight w:val="yellow"/>
              </w:rPr>
              <w:t> </w:t>
            </w:r>
            <w:r w:rsidRPr="00585BF8">
              <w:rPr>
                <w:rFonts w:eastAsia="Calibri" w:cs="Open Sans"/>
                <w:highlight w:val="yellow"/>
              </w:rPr>
              <w:fldChar w:fldCharType="end"/>
            </w:r>
            <w:r w:rsidRPr="00585BF8">
              <w:rPr>
                <w:rFonts w:eastAsia="Calibri" w:cs="Open Sans"/>
              </w:rPr>
              <w:t xml:space="preserve">dne </w:t>
            </w:r>
            <w:r w:rsidRPr="00585BF8">
              <w:rPr>
                <w:rFonts w:eastAsia="Calibri" w:cs="Open Sans"/>
                <w:highlight w:val="yellow"/>
              </w:rPr>
              <w:fldChar w:fldCharType="begin">
                <w:ffData>
                  <w:name w:val="Text16"/>
                  <w:enabled/>
                  <w:calcOnExit w:val="0"/>
                  <w:textInput/>
                </w:ffData>
              </w:fldChar>
            </w:r>
            <w:r w:rsidRPr="00585BF8">
              <w:rPr>
                <w:rFonts w:eastAsia="Calibri" w:cs="Open Sans"/>
                <w:highlight w:val="yellow"/>
              </w:rPr>
              <w:instrText xml:space="preserve"> FORMTEXT </w:instrText>
            </w:r>
            <w:r w:rsidRPr="00585BF8">
              <w:rPr>
                <w:rFonts w:eastAsia="Calibri" w:cs="Open Sans"/>
                <w:highlight w:val="yellow"/>
              </w:rPr>
            </w:r>
            <w:r w:rsidRPr="00585BF8">
              <w:rPr>
                <w:rFonts w:eastAsia="Calibri" w:cs="Open Sans"/>
                <w:highlight w:val="yellow"/>
              </w:rPr>
              <w:fldChar w:fldCharType="separate"/>
            </w:r>
            <w:r w:rsidRPr="00585BF8">
              <w:rPr>
                <w:rFonts w:eastAsia="Calibri" w:cs="Open Sans"/>
                <w:noProof/>
                <w:highlight w:val="yellow"/>
              </w:rPr>
              <w:t> </w:t>
            </w:r>
            <w:r w:rsidRPr="00585BF8">
              <w:rPr>
                <w:rFonts w:eastAsia="Calibri" w:cs="Open Sans"/>
                <w:noProof/>
                <w:highlight w:val="yellow"/>
              </w:rPr>
              <w:t> </w:t>
            </w:r>
            <w:r w:rsidRPr="00585BF8">
              <w:rPr>
                <w:rFonts w:eastAsia="Calibri" w:cs="Open Sans"/>
                <w:noProof/>
                <w:highlight w:val="yellow"/>
              </w:rPr>
              <w:t> </w:t>
            </w:r>
            <w:r w:rsidRPr="00585BF8">
              <w:rPr>
                <w:rFonts w:eastAsia="Calibri" w:cs="Open Sans"/>
                <w:noProof/>
                <w:highlight w:val="yellow"/>
              </w:rPr>
              <w:t> </w:t>
            </w:r>
            <w:r w:rsidRPr="00585BF8">
              <w:rPr>
                <w:rFonts w:eastAsia="Calibri" w:cs="Open Sans"/>
                <w:noProof/>
                <w:highlight w:val="yellow"/>
              </w:rPr>
              <w:t> </w:t>
            </w:r>
            <w:r w:rsidRPr="00585BF8">
              <w:rPr>
                <w:rFonts w:eastAsia="Calibri" w:cs="Open Sans"/>
                <w:highlight w:val="yellow"/>
              </w:rPr>
              <w:fldChar w:fldCharType="end"/>
            </w:r>
          </w:p>
          <w:p w14:paraId="267C6CB9" w14:textId="77777777" w:rsidR="00585BF8" w:rsidRPr="00585BF8" w:rsidRDefault="00585BF8" w:rsidP="00585BF8">
            <w:pPr>
              <w:spacing w:after="0"/>
              <w:rPr>
                <w:rFonts w:eastAsia="Calibri" w:cs="Open Sans"/>
              </w:rPr>
            </w:pPr>
          </w:p>
          <w:p w14:paraId="0E63B71C" w14:textId="77777777" w:rsidR="00585BF8" w:rsidRPr="00585BF8" w:rsidRDefault="00585BF8" w:rsidP="00585BF8">
            <w:pPr>
              <w:spacing w:after="0"/>
              <w:rPr>
                <w:rFonts w:eastAsia="Calibri" w:cs="Open Sans"/>
              </w:rPr>
            </w:pPr>
            <w:r w:rsidRPr="00585BF8">
              <w:rPr>
                <w:rFonts w:eastAsia="Calibri" w:cs="Open Sans"/>
              </w:rPr>
              <w:t>Za Dodavatele:</w:t>
            </w:r>
          </w:p>
          <w:p w14:paraId="22746A5A" w14:textId="77777777" w:rsidR="00585BF8" w:rsidRPr="00585BF8" w:rsidRDefault="00585BF8" w:rsidP="00585BF8">
            <w:pPr>
              <w:spacing w:after="0"/>
              <w:rPr>
                <w:rFonts w:eastAsia="Calibri" w:cs="Open Sans"/>
              </w:rPr>
            </w:pPr>
          </w:p>
          <w:p w14:paraId="6720D13A" w14:textId="77777777" w:rsidR="00585BF8" w:rsidRPr="00585BF8" w:rsidRDefault="00585BF8" w:rsidP="00585BF8">
            <w:pPr>
              <w:spacing w:after="0"/>
              <w:rPr>
                <w:rFonts w:eastAsia="Calibri" w:cs="Open Sans"/>
              </w:rPr>
            </w:pPr>
          </w:p>
          <w:p w14:paraId="71078E0C" w14:textId="77777777" w:rsidR="00585BF8" w:rsidRPr="00585BF8" w:rsidRDefault="00585BF8" w:rsidP="00585BF8">
            <w:pPr>
              <w:spacing w:after="0"/>
              <w:rPr>
                <w:rFonts w:eastAsia="Calibri" w:cs="Open Sans"/>
              </w:rPr>
            </w:pPr>
          </w:p>
          <w:p w14:paraId="49E16123" w14:textId="77777777" w:rsidR="00585BF8" w:rsidRPr="00585BF8" w:rsidRDefault="00585BF8" w:rsidP="00585BF8">
            <w:pPr>
              <w:spacing w:after="0"/>
              <w:rPr>
                <w:rFonts w:eastAsia="Calibri" w:cs="Open Sans"/>
              </w:rPr>
            </w:pPr>
          </w:p>
          <w:p w14:paraId="66586271" w14:textId="77777777" w:rsidR="00585BF8" w:rsidRPr="00585BF8" w:rsidRDefault="00585BF8" w:rsidP="00585BF8">
            <w:pPr>
              <w:spacing w:after="0"/>
              <w:rPr>
                <w:rFonts w:eastAsia="Calibri" w:cs="Open Sans"/>
              </w:rPr>
            </w:pPr>
          </w:p>
          <w:p w14:paraId="67C56403" w14:textId="77777777" w:rsidR="00585BF8" w:rsidRPr="00585BF8" w:rsidRDefault="00585BF8" w:rsidP="00585BF8">
            <w:pPr>
              <w:spacing w:after="0"/>
              <w:rPr>
                <w:rFonts w:eastAsia="Calibri" w:cs="Open Sans"/>
              </w:rPr>
            </w:pPr>
            <w:r w:rsidRPr="00585BF8">
              <w:rPr>
                <w:rFonts w:eastAsia="Calibri" w:cs="Open Sans"/>
                <w:highlight w:val="yellow"/>
              </w:rPr>
              <w:fldChar w:fldCharType="begin">
                <w:ffData>
                  <w:name w:val="Text17"/>
                  <w:enabled/>
                  <w:calcOnExit w:val="0"/>
                  <w:textInput/>
                </w:ffData>
              </w:fldChar>
            </w:r>
            <w:r w:rsidRPr="00585BF8">
              <w:rPr>
                <w:rFonts w:eastAsia="Calibri" w:cs="Open Sans"/>
                <w:highlight w:val="yellow"/>
              </w:rPr>
              <w:instrText xml:space="preserve"> FORMTEXT </w:instrText>
            </w:r>
            <w:r w:rsidRPr="00585BF8">
              <w:rPr>
                <w:rFonts w:eastAsia="Calibri" w:cs="Open Sans"/>
                <w:highlight w:val="yellow"/>
              </w:rPr>
            </w:r>
            <w:r w:rsidRPr="00585BF8">
              <w:rPr>
                <w:rFonts w:eastAsia="Calibri" w:cs="Open Sans"/>
                <w:highlight w:val="yellow"/>
              </w:rPr>
              <w:fldChar w:fldCharType="separate"/>
            </w:r>
            <w:r w:rsidRPr="00585BF8">
              <w:rPr>
                <w:rFonts w:eastAsia="Calibri" w:cs="Open Sans"/>
                <w:noProof/>
                <w:highlight w:val="yellow"/>
              </w:rPr>
              <w:t> </w:t>
            </w:r>
            <w:r w:rsidRPr="00585BF8">
              <w:rPr>
                <w:rFonts w:eastAsia="Calibri" w:cs="Open Sans"/>
                <w:noProof/>
                <w:highlight w:val="yellow"/>
              </w:rPr>
              <w:t> </w:t>
            </w:r>
            <w:r w:rsidRPr="00585BF8">
              <w:rPr>
                <w:rFonts w:eastAsia="Calibri" w:cs="Open Sans"/>
                <w:noProof/>
                <w:highlight w:val="yellow"/>
              </w:rPr>
              <w:t> </w:t>
            </w:r>
            <w:r w:rsidRPr="00585BF8">
              <w:rPr>
                <w:rFonts w:eastAsia="Calibri" w:cs="Open Sans"/>
                <w:noProof/>
                <w:highlight w:val="yellow"/>
              </w:rPr>
              <w:t> </w:t>
            </w:r>
            <w:r w:rsidRPr="00585BF8">
              <w:rPr>
                <w:rFonts w:eastAsia="Calibri" w:cs="Open Sans"/>
                <w:noProof/>
                <w:highlight w:val="yellow"/>
              </w:rPr>
              <w:t> </w:t>
            </w:r>
            <w:r w:rsidRPr="00585BF8">
              <w:rPr>
                <w:rFonts w:eastAsia="Calibri" w:cs="Open Sans"/>
                <w:highlight w:val="yellow"/>
              </w:rPr>
              <w:fldChar w:fldCharType="end"/>
            </w:r>
          </w:p>
          <w:p w14:paraId="1A9AB490" w14:textId="77777777" w:rsidR="00585BF8" w:rsidRPr="00585BF8" w:rsidRDefault="00585BF8" w:rsidP="00585BF8">
            <w:pPr>
              <w:spacing w:after="0"/>
              <w:rPr>
                <w:rFonts w:eastAsia="Calibri" w:cs="Open Sans"/>
              </w:rPr>
            </w:pPr>
            <w:r w:rsidRPr="00585BF8">
              <w:rPr>
                <w:rFonts w:eastAsia="Calibri" w:cs="Open Sans"/>
              </w:rPr>
              <w:t>Jméno</w:t>
            </w:r>
          </w:p>
          <w:p w14:paraId="3C0DBA40" w14:textId="77777777" w:rsidR="00585BF8" w:rsidRPr="00585BF8" w:rsidRDefault="00585BF8" w:rsidP="00585BF8">
            <w:pPr>
              <w:spacing w:after="0"/>
              <w:rPr>
                <w:rFonts w:eastAsia="Calibri" w:cs="Open Sans"/>
                <w:iCs/>
              </w:rPr>
            </w:pPr>
            <w:r w:rsidRPr="00585BF8">
              <w:rPr>
                <w:rFonts w:eastAsia="Calibri" w:cs="Open Sans"/>
              </w:rPr>
              <w:t>funkce</w:t>
            </w:r>
          </w:p>
        </w:tc>
      </w:tr>
    </w:tbl>
    <w:p w14:paraId="68C8B96E" w14:textId="0B93104B" w:rsidR="0069453D" w:rsidRPr="00117842" w:rsidRDefault="0069453D" w:rsidP="00C3433A">
      <w:pPr>
        <w:rPr>
          <w:rFonts w:cs="Open Sans"/>
          <w:lang w:val="cs-CZ"/>
        </w:rPr>
      </w:pPr>
    </w:p>
    <w:sectPr w:rsidR="0069453D" w:rsidRPr="00117842" w:rsidSect="009824A2">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EA02F" w14:textId="77777777" w:rsidR="003B3ED8" w:rsidRDefault="003B3ED8" w:rsidP="000C67D8">
      <w:pPr>
        <w:spacing w:after="0"/>
      </w:pPr>
      <w:r>
        <w:separator/>
      </w:r>
    </w:p>
  </w:endnote>
  <w:endnote w:type="continuationSeparator" w:id="0">
    <w:p w14:paraId="3B2AF771" w14:textId="77777777" w:rsidR="003B3ED8" w:rsidRDefault="003B3ED8" w:rsidP="000C67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B329E" w14:textId="77777777" w:rsidR="003B3ED8" w:rsidRDefault="003B3ED8" w:rsidP="000C67D8">
      <w:pPr>
        <w:spacing w:after="0"/>
      </w:pPr>
      <w:r>
        <w:separator/>
      </w:r>
    </w:p>
  </w:footnote>
  <w:footnote w:type="continuationSeparator" w:id="0">
    <w:p w14:paraId="4885D1C7" w14:textId="77777777" w:rsidR="003B3ED8" w:rsidRDefault="003B3ED8" w:rsidP="000C67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abstractNum w:abstractNumId="6" w15:restartNumberingAfterBreak="0">
    <w:nsid w:val="00CF3E72"/>
    <w:multiLevelType w:val="hybridMultilevel"/>
    <w:tmpl w:val="A2AE93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297029"/>
    <w:multiLevelType w:val="hybridMultilevel"/>
    <w:tmpl w:val="632C135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A546BC0"/>
    <w:multiLevelType w:val="hybridMultilevel"/>
    <w:tmpl w:val="D1880B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9D77E9"/>
    <w:multiLevelType w:val="hybridMultilevel"/>
    <w:tmpl w:val="59FA56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9C01974"/>
    <w:multiLevelType w:val="hybridMultilevel"/>
    <w:tmpl w:val="A68CF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D57280"/>
    <w:multiLevelType w:val="hybridMultilevel"/>
    <w:tmpl w:val="CB0AD4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6133E85"/>
    <w:multiLevelType w:val="hybridMultilevel"/>
    <w:tmpl w:val="3FCE2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B6B376A"/>
    <w:multiLevelType w:val="hybridMultilevel"/>
    <w:tmpl w:val="3C6A21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B782FCE"/>
    <w:multiLevelType w:val="hybridMultilevel"/>
    <w:tmpl w:val="72520CAE"/>
    <w:lvl w:ilvl="0" w:tplc="81E46A22">
      <w:start w:val="1"/>
      <w:numFmt w:val="upperRoman"/>
      <w:pStyle w:val="Nadpis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2A0EB2"/>
    <w:multiLevelType w:val="hybridMultilevel"/>
    <w:tmpl w:val="E098E9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74762D"/>
    <w:multiLevelType w:val="hybridMultilevel"/>
    <w:tmpl w:val="052600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CD51F2"/>
    <w:multiLevelType w:val="hybridMultilevel"/>
    <w:tmpl w:val="5F5CE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BF0C04"/>
    <w:multiLevelType w:val="hybridMultilevel"/>
    <w:tmpl w:val="16ECAEFA"/>
    <w:lvl w:ilvl="0" w:tplc="D4D21C8C">
      <w:start w:val="1"/>
      <w:numFmt w:val="decimal"/>
      <w:pStyle w:val="sla"/>
      <w:lvlText w:val="%1."/>
      <w:lvlJc w:val="left"/>
      <w:pPr>
        <w:ind w:left="720" w:hanging="360"/>
      </w:pPr>
      <w:rPr>
        <w:rFonts w:cs="Times New Roman"/>
      </w:r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19" w15:restartNumberingAfterBreak="0">
    <w:nsid w:val="6A091CBE"/>
    <w:multiLevelType w:val="hybridMultilevel"/>
    <w:tmpl w:val="ACD287D2"/>
    <w:lvl w:ilvl="0" w:tplc="6DF4BD78">
      <w:start w:val="1"/>
      <w:numFmt w:val="decimal"/>
      <w:pStyle w:val="Styl1"/>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20" w15:restartNumberingAfterBreak="0">
    <w:nsid w:val="7A3109E7"/>
    <w:multiLevelType w:val="hybridMultilevel"/>
    <w:tmpl w:val="C63C6C28"/>
    <w:lvl w:ilvl="0" w:tplc="3D4854B8">
      <w:start w:val="1"/>
      <w:numFmt w:val="decimal"/>
      <w:pStyle w:val="Bezmez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D1D1B4C"/>
    <w:multiLevelType w:val="hybridMultilevel"/>
    <w:tmpl w:val="BFB035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77449972">
    <w:abstractNumId w:val="5"/>
  </w:num>
  <w:num w:numId="2" w16cid:durableId="715391087">
    <w:abstractNumId w:val="3"/>
  </w:num>
  <w:num w:numId="3" w16cid:durableId="1292438348">
    <w:abstractNumId w:val="2"/>
  </w:num>
  <w:num w:numId="4" w16cid:durableId="1773042375">
    <w:abstractNumId w:val="4"/>
  </w:num>
  <w:num w:numId="5" w16cid:durableId="2051565726">
    <w:abstractNumId w:val="1"/>
  </w:num>
  <w:num w:numId="6" w16cid:durableId="90468792">
    <w:abstractNumId w:val="0"/>
  </w:num>
  <w:num w:numId="7" w16cid:durableId="171916623">
    <w:abstractNumId w:val="14"/>
  </w:num>
  <w:num w:numId="8" w16cid:durableId="16465416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0383455">
    <w:abstractNumId w:val="10"/>
  </w:num>
  <w:num w:numId="10" w16cid:durableId="927039389">
    <w:abstractNumId w:val="20"/>
  </w:num>
  <w:num w:numId="11" w16cid:durableId="776679879">
    <w:abstractNumId w:val="19"/>
  </w:num>
  <w:num w:numId="12" w16cid:durableId="302857881">
    <w:abstractNumId w:val="20"/>
    <w:lvlOverride w:ilvl="0">
      <w:startOverride w:val="1"/>
    </w:lvlOverride>
  </w:num>
  <w:num w:numId="13" w16cid:durableId="1014844087">
    <w:abstractNumId w:val="8"/>
  </w:num>
  <w:num w:numId="14" w16cid:durableId="1509976074">
    <w:abstractNumId w:val="9"/>
  </w:num>
  <w:num w:numId="15" w16cid:durableId="1616674028">
    <w:abstractNumId w:val="12"/>
  </w:num>
  <w:num w:numId="16" w16cid:durableId="1458140901">
    <w:abstractNumId w:val="6"/>
  </w:num>
  <w:num w:numId="17" w16cid:durableId="1581721290">
    <w:abstractNumId w:val="16"/>
  </w:num>
  <w:num w:numId="18" w16cid:durableId="427433999">
    <w:abstractNumId w:val="11"/>
  </w:num>
  <w:num w:numId="19" w16cid:durableId="1968465179">
    <w:abstractNumId w:val="21"/>
  </w:num>
  <w:num w:numId="20" w16cid:durableId="1432815861">
    <w:abstractNumId w:val="15"/>
  </w:num>
  <w:num w:numId="21" w16cid:durableId="1983732276">
    <w:abstractNumId w:val="13"/>
  </w:num>
  <w:num w:numId="22" w16cid:durableId="1991516244">
    <w:abstractNumId w:val="17"/>
  </w:num>
  <w:num w:numId="23" w16cid:durableId="1761943700">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DB6"/>
    <w:rsid w:val="00010C80"/>
    <w:rsid w:val="00034616"/>
    <w:rsid w:val="00045204"/>
    <w:rsid w:val="00053939"/>
    <w:rsid w:val="0006063C"/>
    <w:rsid w:val="00060891"/>
    <w:rsid w:val="00064990"/>
    <w:rsid w:val="0008237C"/>
    <w:rsid w:val="00086058"/>
    <w:rsid w:val="000A52FE"/>
    <w:rsid w:val="000B2549"/>
    <w:rsid w:val="000B3ECC"/>
    <w:rsid w:val="000B4BC1"/>
    <w:rsid w:val="000C0EF3"/>
    <w:rsid w:val="000C1AA4"/>
    <w:rsid w:val="000C67D8"/>
    <w:rsid w:val="000C6D95"/>
    <w:rsid w:val="000C72F8"/>
    <w:rsid w:val="000D04D1"/>
    <w:rsid w:val="000D728B"/>
    <w:rsid w:val="000E47CF"/>
    <w:rsid w:val="00102E6C"/>
    <w:rsid w:val="00103810"/>
    <w:rsid w:val="00103961"/>
    <w:rsid w:val="00117842"/>
    <w:rsid w:val="00120B3A"/>
    <w:rsid w:val="00132250"/>
    <w:rsid w:val="001359BE"/>
    <w:rsid w:val="0015074B"/>
    <w:rsid w:val="00154400"/>
    <w:rsid w:val="001677DE"/>
    <w:rsid w:val="001712F9"/>
    <w:rsid w:val="001812AC"/>
    <w:rsid w:val="0019146F"/>
    <w:rsid w:val="001972D1"/>
    <w:rsid w:val="001A391A"/>
    <w:rsid w:val="001A715B"/>
    <w:rsid w:val="001B3F21"/>
    <w:rsid w:val="001E1765"/>
    <w:rsid w:val="001E7992"/>
    <w:rsid w:val="001F3CBB"/>
    <w:rsid w:val="00202981"/>
    <w:rsid w:val="00205190"/>
    <w:rsid w:val="00212776"/>
    <w:rsid w:val="00215B94"/>
    <w:rsid w:val="00220631"/>
    <w:rsid w:val="00224007"/>
    <w:rsid w:val="00231D37"/>
    <w:rsid w:val="00246F4F"/>
    <w:rsid w:val="00254C64"/>
    <w:rsid w:val="00263C8A"/>
    <w:rsid w:val="0026483D"/>
    <w:rsid w:val="00270030"/>
    <w:rsid w:val="00290792"/>
    <w:rsid w:val="0029177D"/>
    <w:rsid w:val="002920CD"/>
    <w:rsid w:val="00292F52"/>
    <w:rsid w:val="0029639D"/>
    <w:rsid w:val="002A0815"/>
    <w:rsid w:val="002A5A9C"/>
    <w:rsid w:val="002B22DE"/>
    <w:rsid w:val="002C107E"/>
    <w:rsid w:val="002C4862"/>
    <w:rsid w:val="002C4F7C"/>
    <w:rsid w:val="002C76CA"/>
    <w:rsid w:val="002D06E4"/>
    <w:rsid w:val="002E6AB9"/>
    <w:rsid w:val="002F1AA8"/>
    <w:rsid w:val="002F2308"/>
    <w:rsid w:val="002F3AEF"/>
    <w:rsid w:val="00300FF0"/>
    <w:rsid w:val="00302E23"/>
    <w:rsid w:val="00303C60"/>
    <w:rsid w:val="00304155"/>
    <w:rsid w:val="00306BEB"/>
    <w:rsid w:val="00315534"/>
    <w:rsid w:val="003254FE"/>
    <w:rsid w:val="00326F90"/>
    <w:rsid w:val="00340F3F"/>
    <w:rsid w:val="003424A1"/>
    <w:rsid w:val="00362452"/>
    <w:rsid w:val="0037632F"/>
    <w:rsid w:val="0038517F"/>
    <w:rsid w:val="00387565"/>
    <w:rsid w:val="00390745"/>
    <w:rsid w:val="0039171A"/>
    <w:rsid w:val="003939B6"/>
    <w:rsid w:val="003973B1"/>
    <w:rsid w:val="003A132F"/>
    <w:rsid w:val="003A39A9"/>
    <w:rsid w:val="003B3ED8"/>
    <w:rsid w:val="003C50DB"/>
    <w:rsid w:val="003C6C5D"/>
    <w:rsid w:val="003D1024"/>
    <w:rsid w:val="003D4A24"/>
    <w:rsid w:val="003E5191"/>
    <w:rsid w:val="0041068D"/>
    <w:rsid w:val="004117BB"/>
    <w:rsid w:val="00415C93"/>
    <w:rsid w:val="00417847"/>
    <w:rsid w:val="004256E6"/>
    <w:rsid w:val="004263D2"/>
    <w:rsid w:val="004601EB"/>
    <w:rsid w:val="00460C14"/>
    <w:rsid w:val="00461DEE"/>
    <w:rsid w:val="004632A9"/>
    <w:rsid w:val="00481153"/>
    <w:rsid w:val="004833A0"/>
    <w:rsid w:val="00484EA6"/>
    <w:rsid w:val="00492B8F"/>
    <w:rsid w:val="004933CE"/>
    <w:rsid w:val="004A521B"/>
    <w:rsid w:val="004A6D1E"/>
    <w:rsid w:val="004A6F68"/>
    <w:rsid w:val="004B242F"/>
    <w:rsid w:val="004B4639"/>
    <w:rsid w:val="004C154D"/>
    <w:rsid w:val="004C1856"/>
    <w:rsid w:val="004C42D8"/>
    <w:rsid w:val="004C5113"/>
    <w:rsid w:val="004F13C0"/>
    <w:rsid w:val="004F4039"/>
    <w:rsid w:val="004F6A3B"/>
    <w:rsid w:val="00502103"/>
    <w:rsid w:val="00512FB4"/>
    <w:rsid w:val="00517A82"/>
    <w:rsid w:val="00521E8C"/>
    <w:rsid w:val="00526B57"/>
    <w:rsid w:val="00533436"/>
    <w:rsid w:val="00542093"/>
    <w:rsid w:val="00552342"/>
    <w:rsid w:val="0056107B"/>
    <w:rsid w:val="00567EFC"/>
    <w:rsid w:val="00571AA5"/>
    <w:rsid w:val="00574924"/>
    <w:rsid w:val="00585B62"/>
    <w:rsid w:val="00585BF8"/>
    <w:rsid w:val="00592358"/>
    <w:rsid w:val="005B0293"/>
    <w:rsid w:val="005B67DA"/>
    <w:rsid w:val="005B7D78"/>
    <w:rsid w:val="005B7F44"/>
    <w:rsid w:val="005C1047"/>
    <w:rsid w:val="005D36C4"/>
    <w:rsid w:val="005D727E"/>
    <w:rsid w:val="005D7D12"/>
    <w:rsid w:val="005E0E11"/>
    <w:rsid w:val="005E4098"/>
    <w:rsid w:val="0061476D"/>
    <w:rsid w:val="006151E0"/>
    <w:rsid w:val="00625531"/>
    <w:rsid w:val="00633804"/>
    <w:rsid w:val="00634A45"/>
    <w:rsid w:val="00635408"/>
    <w:rsid w:val="00637413"/>
    <w:rsid w:val="0064459C"/>
    <w:rsid w:val="00645D5C"/>
    <w:rsid w:val="00656F18"/>
    <w:rsid w:val="00657960"/>
    <w:rsid w:val="006608B0"/>
    <w:rsid w:val="0066185C"/>
    <w:rsid w:val="006634E0"/>
    <w:rsid w:val="00663578"/>
    <w:rsid w:val="00665BFD"/>
    <w:rsid w:val="00672E6B"/>
    <w:rsid w:val="00673834"/>
    <w:rsid w:val="00675D23"/>
    <w:rsid w:val="0069453D"/>
    <w:rsid w:val="006A615E"/>
    <w:rsid w:val="006A7BB9"/>
    <w:rsid w:val="006B16D2"/>
    <w:rsid w:val="006C7AA0"/>
    <w:rsid w:val="006E3D20"/>
    <w:rsid w:val="00702D0E"/>
    <w:rsid w:val="00705C99"/>
    <w:rsid w:val="00705CD6"/>
    <w:rsid w:val="0071209A"/>
    <w:rsid w:val="007134CA"/>
    <w:rsid w:val="0072161E"/>
    <w:rsid w:val="0072676B"/>
    <w:rsid w:val="007267F2"/>
    <w:rsid w:val="0074213F"/>
    <w:rsid w:val="007524C2"/>
    <w:rsid w:val="00755DA6"/>
    <w:rsid w:val="00761222"/>
    <w:rsid w:val="00762EEF"/>
    <w:rsid w:val="0076335D"/>
    <w:rsid w:val="007634D2"/>
    <w:rsid w:val="00773A6A"/>
    <w:rsid w:val="00780573"/>
    <w:rsid w:val="0078558F"/>
    <w:rsid w:val="00791F1A"/>
    <w:rsid w:val="007934DF"/>
    <w:rsid w:val="007950B6"/>
    <w:rsid w:val="007A32D7"/>
    <w:rsid w:val="007B4F2A"/>
    <w:rsid w:val="007B5EEC"/>
    <w:rsid w:val="007B75CB"/>
    <w:rsid w:val="007D1AF6"/>
    <w:rsid w:val="007D31B9"/>
    <w:rsid w:val="007F4334"/>
    <w:rsid w:val="007F4EC8"/>
    <w:rsid w:val="008120C3"/>
    <w:rsid w:val="00824160"/>
    <w:rsid w:val="00826270"/>
    <w:rsid w:val="008265B6"/>
    <w:rsid w:val="00832B37"/>
    <w:rsid w:val="00836E42"/>
    <w:rsid w:val="0084024E"/>
    <w:rsid w:val="00841FA4"/>
    <w:rsid w:val="008513C8"/>
    <w:rsid w:val="00852221"/>
    <w:rsid w:val="00855146"/>
    <w:rsid w:val="00855DFD"/>
    <w:rsid w:val="00861CF5"/>
    <w:rsid w:val="0087091A"/>
    <w:rsid w:val="008754F8"/>
    <w:rsid w:val="008A039D"/>
    <w:rsid w:val="008A3025"/>
    <w:rsid w:val="008A48C8"/>
    <w:rsid w:val="008A4A43"/>
    <w:rsid w:val="008B5970"/>
    <w:rsid w:val="008C339F"/>
    <w:rsid w:val="008C66CE"/>
    <w:rsid w:val="008D4995"/>
    <w:rsid w:val="008D4C57"/>
    <w:rsid w:val="008E38C3"/>
    <w:rsid w:val="008E41A4"/>
    <w:rsid w:val="008F2F89"/>
    <w:rsid w:val="009004C2"/>
    <w:rsid w:val="009143F8"/>
    <w:rsid w:val="00925F28"/>
    <w:rsid w:val="00934CDD"/>
    <w:rsid w:val="00951566"/>
    <w:rsid w:val="00963F82"/>
    <w:rsid w:val="00977227"/>
    <w:rsid w:val="009824A2"/>
    <w:rsid w:val="00987A8F"/>
    <w:rsid w:val="00990E99"/>
    <w:rsid w:val="00992104"/>
    <w:rsid w:val="00995A0E"/>
    <w:rsid w:val="009A3664"/>
    <w:rsid w:val="009D08E7"/>
    <w:rsid w:val="009D1099"/>
    <w:rsid w:val="009D2864"/>
    <w:rsid w:val="009D5D47"/>
    <w:rsid w:val="009D7704"/>
    <w:rsid w:val="009E5112"/>
    <w:rsid w:val="009F1BA9"/>
    <w:rsid w:val="009F3B31"/>
    <w:rsid w:val="009F5C3C"/>
    <w:rsid w:val="00A0572F"/>
    <w:rsid w:val="00A12CCD"/>
    <w:rsid w:val="00A155C0"/>
    <w:rsid w:val="00A20A61"/>
    <w:rsid w:val="00A22A78"/>
    <w:rsid w:val="00A22B65"/>
    <w:rsid w:val="00A45DAE"/>
    <w:rsid w:val="00A73400"/>
    <w:rsid w:val="00A8084E"/>
    <w:rsid w:val="00A87826"/>
    <w:rsid w:val="00A94BB1"/>
    <w:rsid w:val="00A95CA1"/>
    <w:rsid w:val="00A9705A"/>
    <w:rsid w:val="00A97837"/>
    <w:rsid w:val="00AA1D8D"/>
    <w:rsid w:val="00AA4011"/>
    <w:rsid w:val="00AB60D9"/>
    <w:rsid w:val="00AB6B50"/>
    <w:rsid w:val="00AB7B55"/>
    <w:rsid w:val="00AD1664"/>
    <w:rsid w:val="00AD6407"/>
    <w:rsid w:val="00AE03FB"/>
    <w:rsid w:val="00AE5DAA"/>
    <w:rsid w:val="00AF0F31"/>
    <w:rsid w:val="00AF7C04"/>
    <w:rsid w:val="00B00362"/>
    <w:rsid w:val="00B07EE0"/>
    <w:rsid w:val="00B12914"/>
    <w:rsid w:val="00B14FA1"/>
    <w:rsid w:val="00B15603"/>
    <w:rsid w:val="00B17E07"/>
    <w:rsid w:val="00B219B8"/>
    <w:rsid w:val="00B331A8"/>
    <w:rsid w:val="00B45942"/>
    <w:rsid w:val="00B47730"/>
    <w:rsid w:val="00B50C67"/>
    <w:rsid w:val="00B64CE8"/>
    <w:rsid w:val="00B656D6"/>
    <w:rsid w:val="00B70AC1"/>
    <w:rsid w:val="00B71901"/>
    <w:rsid w:val="00B77391"/>
    <w:rsid w:val="00BB2168"/>
    <w:rsid w:val="00BC53FD"/>
    <w:rsid w:val="00BC69FA"/>
    <w:rsid w:val="00BD4041"/>
    <w:rsid w:val="00BE01B4"/>
    <w:rsid w:val="00BE02B8"/>
    <w:rsid w:val="00BE704A"/>
    <w:rsid w:val="00BF49D7"/>
    <w:rsid w:val="00BF4E5F"/>
    <w:rsid w:val="00BF6447"/>
    <w:rsid w:val="00BF7DCA"/>
    <w:rsid w:val="00C00B88"/>
    <w:rsid w:val="00C11AC2"/>
    <w:rsid w:val="00C14F05"/>
    <w:rsid w:val="00C165A6"/>
    <w:rsid w:val="00C278C3"/>
    <w:rsid w:val="00C334E0"/>
    <w:rsid w:val="00C3433A"/>
    <w:rsid w:val="00C41349"/>
    <w:rsid w:val="00C42F69"/>
    <w:rsid w:val="00C43F68"/>
    <w:rsid w:val="00C563C8"/>
    <w:rsid w:val="00C61A3C"/>
    <w:rsid w:val="00C645CF"/>
    <w:rsid w:val="00C64B15"/>
    <w:rsid w:val="00C655A8"/>
    <w:rsid w:val="00C8076A"/>
    <w:rsid w:val="00C81FAA"/>
    <w:rsid w:val="00C861A1"/>
    <w:rsid w:val="00CA4CAA"/>
    <w:rsid w:val="00CB0664"/>
    <w:rsid w:val="00CB2EDA"/>
    <w:rsid w:val="00CC313B"/>
    <w:rsid w:val="00CC6310"/>
    <w:rsid w:val="00CC7377"/>
    <w:rsid w:val="00CC74D2"/>
    <w:rsid w:val="00CD0FF7"/>
    <w:rsid w:val="00CD3322"/>
    <w:rsid w:val="00CE1AD4"/>
    <w:rsid w:val="00CE2426"/>
    <w:rsid w:val="00D02ED9"/>
    <w:rsid w:val="00D03180"/>
    <w:rsid w:val="00D053F6"/>
    <w:rsid w:val="00D11AE6"/>
    <w:rsid w:val="00D1349F"/>
    <w:rsid w:val="00D26E06"/>
    <w:rsid w:val="00D328F6"/>
    <w:rsid w:val="00D40FE4"/>
    <w:rsid w:val="00D4107D"/>
    <w:rsid w:val="00D417BF"/>
    <w:rsid w:val="00D421C4"/>
    <w:rsid w:val="00D42DFD"/>
    <w:rsid w:val="00D44E1D"/>
    <w:rsid w:val="00D5242B"/>
    <w:rsid w:val="00D54C3C"/>
    <w:rsid w:val="00D554B9"/>
    <w:rsid w:val="00D55F23"/>
    <w:rsid w:val="00D57157"/>
    <w:rsid w:val="00D617B4"/>
    <w:rsid w:val="00D66E61"/>
    <w:rsid w:val="00D76EEE"/>
    <w:rsid w:val="00D82958"/>
    <w:rsid w:val="00D82F3A"/>
    <w:rsid w:val="00D83D75"/>
    <w:rsid w:val="00D90CEF"/>
    <w:rsid w:val="00D91135"/>
    <w:rsid w:val="00D92BC6"/>
    <w:rsid w:val="00DA5D06"/>
    <w:rsid w:val="00DA6548"/>
    <w:rsid w:val="00DC3699"/>
    <w:rsid w:val="00DD5D86"/>
    <w:rsid w:val="00DD6019"/>
    <w:rsid w:val="00DD725A"/>
    <w:rsid w:val="00DE221D"/>
    <w:rsid w:val="00DE5348"/>
    <w:rsid w:val="00DE73C2"/>
    <w:rsid w:val="00DF04F7"/>
    <w:rsid w:val="00DF673F"/>
    <w:rsid w:val="00E027B9"/>
    <w:rsid w:val="00E04157"/>
    <w:rsid w:val="00E04932"/>
    <w:rsid w:val="00E102D7"/>
    <w:rsid w:val="00E111E1"/>
    <w:rsid w:val="00E1142E"/>
    <w:rsid w:val="00E158E7"/>
    <w:rsid w:val="00E2172F"/>
    <w:rsid w:val="00E24F0C"/>
    <w:rsid w:val="00E328B9"/>
    <w:rsid w:val="00E45B47"/>
    <w:rsid w:val="00E47368"/>
    <w:rsid w:val="00E477EE"/>
    <w:rsid w:val="00E527B7"/>
    <w:rsid w:val="00E56177"/>
    <w:rsid w:val="00E74CE4"/>
    <w:rsid w:val="00EB571A"/>
    <w:rsid w:val="00EC62B6"/>
    <w:rsid w:val="00EC7E41"/>
    <w:rsid w:val="00ED1407"/>
    <w:rsid w:val="00ED4658"/>
    <w:rsid w:val="00ED474C"/>
    <w:rsid w:val="00EE3A0A"/>
    <w:rsid w:val="00EF5044"/>
    <w:rsid w:val="00F04A97"/>
    <w:rsid w:val="00F103F6"/>
    <w:rsid w:val="00F22DEB"/>
    <w:rsid w:val="00F30A38"/>
    <w:rsid w:val="00F3491F"/>
    <w:rsid w:val="00F34D84"/>
    <w:rsid w:val="00F420CF"/>
    <w:rsid w:val="00F46D30"/>
    <w:rsid w:val="00F552D3"/>
    <w:rsid w:val="00F55A9B"/>
    <w:rsid w:val="00F56026"/>
    <w:rsid w:val="00F67E8F"/>
    <w:rsid w:val="00F773CC"/>
    <w:rsid w:val="00F86545"/>
    <w:rsid w:val="00F9773E"/>
    <w:rsid w:val="00FA5CAD"/>
    <w:rsid w:val="00FB1D76"/>
    <w:rsid w:val="00FB31DE"/>
    <w:rsid w:val="00FB3E60"/>
    <w:rsid w:val="00FB728E"/>
    <w:rsid w:val="00FC22C9"/>
    <w:rsid w:val="00FC37B2"/>
    <w:rsid w:val="00FC693F"/>
    <w:rsid w:val="00FE35CE"/>
    <w:rsid w:val="00FE4F18"/>
    <w:rsid w:val="00FE5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EB5438"/>
  <w14:defaultImageDpi w14:val="330"/>
  <w15:docId w15:val="{875BBE7E-F9E4-45DC-873F-9EF3B1881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2864"/>
    <w:pPr>
      <w:spacing w:after="120" w:line="240" w:lineRule="auto"/>
      <w:jc w:val="both"/>
    </w:pPr>
    <w:rPr>
      <w:rFonts w:ascii="Open Sans" w:hAnsi="Open Sans"/>
    </w:rPr>
  </w:style>
  <w:style w:type="paragraph" w:styleId="Nadpis1">
    <w:name w:val="heading 1"/>
    <w:aliases w:val="číslo článku"/>
    <w:basedOn w:val="Normln"/>
    <w:next w:val="Normln"/>
    <w:link w:val="Nadpis1Char"/>
    <w:uiPriority w:val="9"/>
    <w:qFormat/>
    <w:rsid w:val="00E111E1"/>
    <w:pPr>
      <w:keepNext/>
      <w:keepLines/>
      <w:numPr>
        <w:numId w:val="7"/>
      </w:numPr>
      <w:spacing w:before="480"/>
      <w:jc w:val="center"/>
      <w:outlineLvl w:val="0"/>
    </w:pPr>
    <w:rPr>
      <w:rFonts w:eastAsiaTheme="majorEastAsia" w:cstheme="majorBidi"/>
      <w:b/>
      <w:bCs/>
      <w:color w:val="000000" w:themeColor="text1"/>
      <w:sz w:val="24"/>
      <w:szCs w:val="28"/>
    </w:rPr>
  </w:style>
  <w:style w:type="paragraph" w:styleId="Nadpis2">
    <w:name w:val="heading 2"/>
    <w:aliases w:val="název článku"/>
    <w:basedOn w:val="Normln"/>
    <w:next w:val="Normln"/>
    <w:link w:val="Nadpis2Char"/>
    <w:uiPriority w:val="9"/>
    <w:unhideWhenUsed/>
    <w:qFormat/>
    <w:rsid w:val="00F56026"/>
    <w:pPr>
      <w:keepNext/>
      <w:keepLines/>
      <w:spacing w:before="120"/>
      <w:jc w:val="center"/>
      <w:outlineLvl w:val="1"/>
    </w:pPr>
    <w:rPr>
      <w:rFonts w:eastAsiaTheme="majorEastAsia" w:cstheme="majorBidi"/>
      <w:b/>
      <w:bCs/>
      <w:color w:val="000000" w:themeColor="text1"/>
      <w:sz w:val="24"/>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pPr>
  </w:style>
  <w:style w:type="character" w:customStyle="1" w:styleId="ZpatChar">
    <w:name w:val="Zápatí Char"/>
    <w:basedOn w:val="Standardnpsmoodstavce"/>
    <w:link w:val="Zpat"/>
    <w:uiPriority w:val="99"/>
    <w:rsid w:val="00E618BF"/>
  </w:style>
  <w:style w:type="paragraph" w:styleId="Bezmezer">
    <w:name w:val="No Spacing"/>
    <w:aliases w:val="text smlouvy"/>
    <w:uiPriority w:val="1"/>
    <w:qFormat/>
    <w:rsid w:val="00705C99"/>
    <w:pPr>
      <w:numPr>
        <w:numId w:val="10"/>
      </w:numPr>
      <w:spacing w:after="120" w:line="240" w:lineRule="auto"/>
      <w:jc w:val="both"/>
    </w:pPr>
    <w:rPr>
      <w:rFonts w:ascii="Open Sans" w:hAnsi="Open Sans"/>
    </w:rPr>
  </w:style>
  <w:style w:type="character" w:customStyle="1" w:styleId="Nadpis1Char">
    <w:name w:val="Nadpis 1 Char"/>
    <w:aliases w:val="číslo článku Char"/>
    <w:basedOn w:val="Standardnpsmoodstavce"/>
    <w:link w:val="Nadpis1"/>
    <w:uiPriority w:val="9"/>
    <w:rsid w:val="00E111E1"/>
    <w:rPr>
      <w:rFonts w:ascii="Open Sans" w:eastAsiaTheme="majorEastAsia" w:hAnsi="Open Sans" w:cstheme="majorBidi"/>
      <w:b/>
      <w:bCs/>
      <w:color w:val="000000" w:themeColor="text1"/>
      <w:sz w:val="24"/>
      <w:szCs w:val="28"/>
    </w:rPr>
  </w:style>
  <w:style w:type="character" w:customStyle="1" w:styleId="Nadpis2Char">
    <w:name w:val="Nadpis 2 Char"/>
    <w:aliases w:val="název článku Char"/>
    <w:basedOn w:val="Standardnpsmoodstavce"/>
    <w:link w:val="Nadpis2"/>
    <w:uiPriority w:val="9"/>
    <w:rsid w:val="00F56026"/>
    <w:rPr>
      <w:rFonts w:ascii="Open Sans" w:eastAsiaTheme="majorEastAsia" w:hAnsi="Open Sans" w:cstheme="majorBidi"/>
      <w:b/>
      <w:bCs/>
      <w:color w:val="000000" w:themeColor="text1"/>
      <w:sz w:val="24"/>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4"/>
      </w:numPr>
      <w:contextualSpacing/>
    </w:pPr>
  </w:style>
  <w:style w:type="paragraph" w:styleId="slovanseznam2">
    <w:name w:val="List Number 2"/>
    <w:basedOn w:val="Normln"/>
    <w:uiPriority w:val="99"/>
    <w:unhideWhenUsed/>
    <w:rsid w:val="0029639D"/>
    <w:pPr>
      <w:numPr>
        <w:numId w:val="5"/>
      </w:numPr>
      <w:contextualSpacing/>
    </w:pPr>
  </w:style>
  <w:style w:type="paragraph" w:styleId="slovanseznam3">
    <w:name w:val="List Number 3"/>
    <w:basedOn w:val="Normln"/>
    <w:uiPriority w:val="99"/>
    <w:unhideWhenUsed/>
    <w:rsid w:val="0029639D"/>
    <w:pPr>
      <w:numPr>
        <w:numId w:val="6"/>
      </w:numPr>
      <w:contextualSpacing/>
    </w:pPr>
  </w:style>
  <w:style w:type="paragraph" w:styleId="Pokraovnseznamu">
    <w:name w:val="List Continue"/>
    <w:basedOn w:val="Normln"/>
    <w:uiPriority w:val="99"/>
    <w:unhideWhenUsed/>
    <w:rsid w:val="0029639D"/>
    <w:pPr>
      <w:ind w:left="360"/>
      <w:contextualSpacing/>
    </w:pPr>
  </w:style>
  <w:style w:type="paragraph" w:styleId="Pokraovnseznamu2">
    <w:name w:val="List Continue 2"/>
    <w:basedOn w:val="Normln"/>
    <w:uiPriority w:val="99"/>
    <w:unhideWhenUsed/>
    <w:rsid w:val="0029639D"/>
    <w:pPr>
      <w:ind w:left="720"/>
      <w:contextualSpacing/>
    </w:pPr>
  </w:style>
  <w:style w:type="paragraph" w:styleId="Pokraovnseznamu3">
    <w:name w:val="List Continue 3"/>
    <w:basedOn w:val="Normln"/>
    <w:uiPriority w:val="99"/>
    <w:unhideWhenUsed/>
    <w:rsid w:val="0029639D"/>
    <w:pPr>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la">
    <w:name w:val="Čísla"/>
    <w:basedOn w:val="Normln"/>
    <w:uiPriority w:val="99"/>
    <w:qFormat/>
    <w:rsid w:val="00673834"/>
    <w:pPr>
      <w:numPr>
        <w:numId w:val="8"/>
      </w:numPr>
      <w:tabs>
        <w:tab w:val="num" w:pos="360"/>
      </w:tabs>
      <w:spacing w:after="0"/>
      <w:ind w:left="851" w:hanging="284"/>
    </w:pPr>
    <w:rPr>
      <w:rFonts w:eastAsia="Times New Roman" w:cs="Calibri"/>
      <w:lang w:val="cs-CZ" w:eastAsia="cs-CZ"/>
    </w:rPr>
  </w:style>
  <w:style w:type="paragraph" w:customStyle="1" w:styleId="Styl1">
    <w:name w:val="Styl1"/>
    <w:basedOn w:val="Odstavecseseznamem"/>
    <w:link w:val="Styl1Char"/>
    <w:qFormat/>
    <w:rsid w:val="00AD6407"/>
    <w:pPr>
      <w:numPr>
        <w:numId w:val="11"/>
      </w:numPr>
      <w:ind w:left="284" w:hanging="284"/>
      <w:contextualSpacing w:val="0"/>
    </w:pPr>
    <w:rPr>
      <w:rFonts w:eastAsia="Calibri" w:cs="Times New Roman"/>
      <w:lang w:val="cs-CZ"/>
    </w:rPr>
  </w:style>
  <w:style w:type="character" w:styleId="Odkaznakoment">
    <w:name w:val="annotation reference"/>
    <w:basedOn w:val="Standardnpsmoodstavce"/>
    <w:uiPriority w:val="99"/>
    <w:semiHidden/>
    <w:unhideWhenUsed/>
    <w:rsid w:val="00086058"/>
    <w:rPr>
      <w:sz w:val="16"/>
      <w:szCs w:val="16"/>
    </w:rPr>
  </w:style>
  <w:style w:type="paragraph" w:styleId="Textkomente">
    <w:name w:val="annotation text"/>
    <w:basedOn w:val="Normln"/>
    <w:link w:val="TextkomenteChar"/>
    <w:uiPriority w:val="99"/>
    <w:unhideWhenUsed/>
    <w:rsid w:val="00086058"/>
    <w:rPr>
      <w:sz w:val="20"/>
      <w:szCs w:val="20"/>
    </w:rPr>
  </w:style>
  <w:style w:type="character" w:customStyle="1" w:styleId="TextkomenteChar">
    <w:name w:val="Text komentáře Char"/>
    <w:basedOn w:val="Standardnpsmoodstavce"/>
    <w:link w:val="Textkomente"/>
    <w:uiPriority w:val="99"/>
    <w:rsid w:val="00086058"/>
    <w:rPr>
      <w:rFonts w:ascii="Open Sans" w:hAnsi="Open Sans"/>
      <w:sz w:val="20"/>
      <w:szCs w:val="20"/>
    </w:rPr>
  </w:style>
  <w:style w:type="paragraph" w:styleId="Pedmtkomente">
    <w:name w:val="annotation subject"/>
    <w:basedOn w:val="Textkomente"/>
    <w:next w:val="Textkomente"/>
    <w:link w:val="PedmtkomenteChar"/>
    <w:uiPriority w:val="99"/>
    <w:semiHidden/>
    <w:unhideWhenUsed/>
    <w:rsid w:val="00086058"/>
    <w:rPr>
      <w:b/>
      <w:bCs/>
    </w:rPr>
  </w:style>
  <w:style w:type="character" w:customStyle="1" w:styleId="PedmtkomenteChar">
    <w:name w:val="Předmět komentáře Char"/>
    <w:basedOn w:val="TextkomenteChar"/>
    <w:link w:val="Pedmtkomente"/>
    <w:uiPriority w:val="99"/>
    <w:semiHidden/>
    <w:rsid w:val="00086058"/>
    <w:rPr>
      <w:rFonts w:ascii="Open Sans" w:hAnsi="Open Sans"/>
      <w:b/>
      <w:bCs/>
      <w:sz w:val="20"/>
      <w:szCs w:val="20"/>
    </w:rPr>
  </w:style>
  <w:style w:type="table" w:customStyle="1" w:styleId="Mkatabulky1">
    <w:name w:val="Mřížka tabulky1"/>
    <w:basedOn w:val="Normlntabulka"/>
    <w:next w:val="Mkatabulky"/>
    <w:uiPriority w:val="59"/>
    <w:rsid w:val="00585BF8"/>
    <w:pPr>
      <w:spacing w:after="0" w:line="240" w:lineRule="auto"/>
    </w:pPr>
    <w:rPr>
      <w:rFonts w:eastAsia="Times New Roman"/>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1Char">
    <w:name w:val="Styl1 Char"/>
    <w:basedOn w:val="Standardnpsmoodstavce"/>
    <w:link w:val="Styl1"/>
    <w:locked/>
    <w:rsid w:val="00C61A3C"/>
    <w:rPr>
      <w:rFonts w:ascii="Open Sans" w:eastAsia="Calibri" w:hAnsi="Open Sans" w:cs="Times New Roman"/>
      <w:lang w:val="cs-CZ"/>
    </w:rPr>
  </w:style>
  <w:style w:type="paragraph" w:styleId="Textpoznpodarou">
    <w:name w:val="footnote text"/>
    <w:basedOn w:val="Normln"/>
    <w:link w:val="TextpoznpodarouChar"/>
    <w:uiPriority w:val="99"/>
    <w:semiHidden/>
    <w:unhideWhenUsed/>
    <w:rsid w:val="008E41A4"/>
    <w:pPr>
      <w:spacing w:after="0"/>
    </w:pPr>
    <w:rPr>
      <w:sz w:val="20"/>
      <w:szCs w:val="20"/>
    </w:rPr>
  </w:style>
  <w:style w:type="character" w:customStyle="1" w:styleId="TextpoznpodarouChar">
    <w:name w:val="Text pozn. pod čarou Char"/>
    <w:basedOn w:val="Standardnpsmoodstavce"/>
    <w:link w:val="Textpoznpodarou"/>
    <w:uiPriority w:val="99"/>
    <w:semiHidden/>
    <w:rsid w:val="008E41A4"/>
    <w:rPr>
      <w:rFonts w:ascii="Open Sans" w:hAnsi="Open Sans"/>
      <w:sz w:val="20"/>
      <w:szCs w:val="20"/>
    </w:rPr>
  </w:style>
  <w:style w:type="character" w:styleId="Znakapoznpodarou">
    <w:name w:val="footnote reference"/>
    <w:basedOn w:val="Standardnpsmoodstavce"/>
    <w:uiPriority w:val="99"/>
    <w:semiHidden/>
    <w:unhideWhenUsed/>
    <w:rsid w:val="008E41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1033">
      <w:bodyDiv w:val="1"/>
      <w:marLeft w:val="0"/>
      <w:marRight w:val="0"/>
      <w:marTop w:val="0"/>
      <w:marBottom w:val="0"/>
      <w:divBdr>
        <w:top w:val="none" w:sz="0" w:space="0" w:color="auto"/>
        <w:left w:val="none" w:sz="0" w:space="0" w:color="auto"/>
        <w:bottom w:val="none" w:sz="0" w:space="0" w:color="auto"/>
        <w:right w:val="none" w:sz="0" w:space="0" w:color="auto"/>
      </w:divBdr>
    </w:div>
    <w:div w:id="513961371">
      <w:bodyDiv w:val="1"/>
      <w:marLeft w:val="0"/>
      <w:marRight w:val="0"/>
      <w:marTop w:val="0"/>
      <w:marBottom w:val="0"/>
      <w:divBdr>
        <w:top w:val="none" w:sz="0" w:space="0" w:color="auto"/>
        <w:left w:val="none" w:sz="0" w:space="0" w:color="auto"/>
        <w:bottom w:val="none" w:sz="0" w:space="0" w:color="auto"/>
        <w:right w:val="none" w:sz="0" w:space="0" w:color="auto"/>
      </w:divBdr>
    </w:div>
    <w:div w:id="6201886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Pages>12</Pages>
  <Words>3698</Words>
  <Characters>21822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Tomáš Motal</cp:lastModifiedBy>
  <cp:revision>399</cp:revision>
  <dcterms:created xsi:type="dcterms:W3CDTF">2025-06-16T14:22:00Z</dcterms:created>
  <dcterms:modified xsi:type="dcterms:W3CDTF">2025-08-25T10:14:00Z</dcterms:modified>
  <cp:category/>
</cp:coreProperties>
</file>