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53B78669" w14:textId="2F569D35" w:rsidR="00CF53C3" w:rsidRPr="000C10DC" w:rsidRDefault="008D7C43" w:rsidP="00CF53C3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F53C3" w:rsidRPr="000C10DC" w14:paraId="69876060" w14:textId="77777777" w:rsidTr="009D6831">
        <w:tc>
          <w:tcPr>
            <w:tcW w:w="9062" w:type="dxa"/>
          </w:tcPr>
          <w:p w14:paraId="42AC5D62" w14:textId="77777777" w:rsidR="00CF53C3" w:rsidRPr="000C10DC" w:rsidRDefault="00CF53C3" w:rsidP="009D6831">
            <w:pPr>
              <w:jc w:val="cent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CF53C3" w:rsidRPr="000C10DC" w14:paraId="6F69A442" w14:textId="77777777" w:rsidTr="009D6831">
        <w:trPr>
          <w:trHeight w:val="408"/>
        </w:trPr>
        <w:tc>
          <w:tcPr>
            <w:tcW w:w="9062" w:type="dxa"/>
          </w:tcPr>
          <w:p w14:paraId="098932AC" w14:textId="77777777" w:rsidR="00CF53C3" w:rsidRPr="000C10DC" w:rsidRDefault="00CF53C3" w:rsidP="009D683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9533EB">
              <w:rPr>
                <w:rFonts w:ascii="Open Sans" w:hAnsi="Open Sans" w:cs="Open Sans"/>
                <w:b/>
                <w:sz w:val="32"/>
                <w:szCs w:val="32"/>
              </w:rPr>
              <w:t>Svoz a využití či odstranění směsného komunálního odpadu pro město Ostrov</w:t>
            </w:r>
          </w:p>
        </w:tc>
      </w:tr>
    </w:tbl>
    <w:p w14:paraId="42CF6586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</w:p>
    <w:p w14:paraId="29768EBD" w14:textId="77777777" w:rsidR="00CF53C3" w:rsidRPr="000C10DC" w:rsidRDefault="00CF53C3" w:rsidP="00CF53C3">
      <w:pPr>
        <w:spacing w:after="0"/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444E9FF5" w14:textId="77777777" w:rsidR="00CF53C3" w:rsidRPr="000C10DC" w:rsidRDefault="00CF53C3" w:rsidP="00CF53C3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CF53C3" w:rsidRPr="000C10DC" w14:paraId="12BE9AA1" w14:textId="77777777" w:rsidTr="000378DC">
        <w:tc>
          <w:tcPr>
            <w:tcW w:w="3964" w:type="dxa"/>
          </w:tcPr>
          <w:p w14:paraId="175B55C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103" w:type="dxa"/>
          </w:tcPr>
          <w:p w14:paraId="25F713C8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Otevřené řízení</w:t>
            </w:r>
          </w:p>
        </w:tc>
      </w:tr>
      <w:tr w:rsidR="00CF53C3" w:rsidRPr="000C10DC" w14:paraId="3DADFF8B" w14:textId="77777777" w:rsidTr="000378DC">
        <w:tc>
          <w:tcPr>
            <w:tcW w:w="3964" w:type="dxa"/>
          </w:tcPr>
          <w:p w14:paraId="353EC418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103" w:type="dxa"/>
          </w:tcPr>
          <w:p w14:paraId="43F589A3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Nadlimitní</w:t>
            </w:r>
          </w:p>
        </w:tc>
      </w:tr>
      <w:tr w:rsidR="00CF53C3" w:rsidRPr="000C10DC" w14:paraId="74C01602" w14:textId="77777777" w:rsidTr="000378DC">
        <w:tc>
          <w:tcPr>
            <w:tcW w:w="3964" w:type="dxa"/>
          </w:tcPr>
          <w:p w14:paraId="57313C5B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103" w:type="dxa"/>
          </w:tcPr>
          <w:p w14:paraId="16E54621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Služby</w:t>
            </w:r>
          </w:p>
        </w:tc>
      </w:tr>
      <w:tr w:rsidR="00CF53C3" w:rsidRPr="000C10DC" w14:paraId="3C5A3BD2" w14:textId="77777777" w:rsidTr="000378DC">
        <w:tc>
          <w:tcPr>
            <w:tcW w:w="3964" w:type="dxa"/>
          </w:tcPr>
          <w:p w14:paraId="08194982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5103" w:type="dxa"/>
          </w:tcPr>
          <w:p w14:paraId="4D25C097" w14:textId="6EB50409" w:rsidR="00CF53C3" w:rsidRPr="000C10DC" w:rsidRDefault="00254036" w:rsidP="009D6831">
            <w:pPr>
              <w:rPr>
                <w:rFonts w:ascii="Open Sans" w:hAnsi="Open Sans" w:cs="Open Sans"/>
                <w:b/>
              </w:rPr>
            </w:pPr>
            <w:r w:rsidRPr="00254036">
              <w:rPr>
                <w:rFonts w:ascii="Open Sans" w:hAnsi="Open Sans" w:cs="Open Sans"/>
                <w:b/>
              </w:rPr>
              <w:t xml:space="preserve">34 319 520 </w:t>
            </w:r>
            <w:r w:rsidR="00CF53C3" w:rsidRPr="000C10DC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CF53C3" w:rsidRPr="000C10DC" w14:paraId="6BFA241E" w14:textId="77777777" w:rsidTr="000378DC">
        <w:tc>
          <w:tcPr>
            <w:tcW w:w="3964" w:type="dxa"/>
          </w:tcPr>
          <w:p w14:paraId="6CB5AE65" w14:textId="77777777" w:rsidR="00CF53C3" w:rsidRPr="000C10DC" w:rsidRDefault="00CF53C3" w:rsidP="009D6831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103" w:type="dxa"/>
          </w:tcPr>
          <w:p w14:paraId="10F040FF" w14:textId="77777777" w:rsidR="00CF53C3" w:rsidRPr="000C10DC" w:rsidRDefault="00CF53C3" w:rsidP="009D6831">
            <w:pPr>
              <w:rPr>
                <w:rFonts w:ascii="Open Sans" w:hAnsi="Open Sans" w:cs="Open Sans"/>
              </w:rPr>
            </w:pPr>
            <w:hyperlink r:id="rId9" w:history="1">
              <w:r w:rsidRPr="000C10DC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0C10DC">
              <w:rPr>
                <w:rFonts w:ascii="Open Sans" w:hAnsi="Open Sans" w:cs="Open Sans"/>
              </w:rPr>
              <w:t xml:space="preserve"> </w:t>
            </w:r>
          </w:p>
        </w:tc>
      </w:tr>
      <w:tr w:rsidR="00CF53C3" w:rsidRPr="000C10DC" w14:paraId="6D0A65C2" w14:textId="77777777" w:rsidTr="000378DC">
        <w:tc>
          <w:tcPr>
            <w:tcW w:w="3964" w:type="dxa"/>
          </w:tcPr>
          <w:p w14:paraId="7648768D" w14:textId="77777777" w:rsidR="00CF53C3" w:rsidRPr="00A75D50" w:rsidRDefault="00CF53C3" w:rsidP="009D6831">
            <w:pPr>
              <w:rPr>
                <w:rFonts w:ascii="Open Sans" w:hAnsi="Open Sans" w:cs="Open Sans"/>
                <w:b/>
              </w:rPr>
            </w:pPr>
            <w:r w:rsidRPr="00A75D50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103" w:type="dxa"/>
          </w:tcPr>
          <w:p w14:paraId="54F8EF8A" w14:textId="54A995F7" w:rsidR="00CF53C3" w:rsidRPr="00A75D50" w:rsidRDefault="00A75D50" w:rsidP="009D6831">
            <w:pPr>
              <w:rPr>
                <w:rFonts w:ascii="Open Sans" w:hAnsi="Open Sans" w:cs="Open Sans"/>
              </w:rPr>
            </w:pPr>
            <w:r w:rsidRPr="00A75D50">
              <w:rPr>
                <w:rFonts w:ascii="Open Sans" w:hAnsi="Open Sans" w:cs="Open Sans"/>
              </w:rPr>
              <w:t>22</w:t>
            </w:r>
            <w:r w:rsidR="00CF53C3" w:rsidRPr="00A75D50">
              <w:rPr>
                <w:rFonts w:ascii="Open Sans" w:hAnsi="Open Sans" w:cs="Open Sans"/>
              </w:rPr>
              <w:t xml:space="preserve">. </w:t>
            </w:r>
            <w:r w:rsidRPr="00A75D50">
              <w:rPr>
                <w:rFonts w:ascii="Open Sans" w:hAnsi="Open Sans" w:cs="Open Sans"/>
              </w:rPr>
              <w:t>8</w:t>
            </w:r>
            <w:r w:rsidR="00CF53C3" w:rsidRPr="00A75D50">
              <w:rPr>
                <w:rFonts w:ascii="Open Sans" w:hAnsi="Open Sans" w:cs="Open Sans"/>
              </w:rPr>
              <w:t>. 2025</w:t>
            </w:r>
          </w:p>
        </w:tc>
      </w:tr>
    </w:tbl>
    <w:p w14:paraId="42EEC182" w14:textId="77777777" w:rsidR="00CF53C3" w:rsidRPr="000C10DC" w:rsidRDefault="00CF53C3" w:rsidP="00CF53C3">
      <w:pPr>
        <w:rPr>
          <w:rFonts w:ascii="Open Sans" w:hAnsi="Open Sans" w:cs="Open Sans"/>
        </w:rPr>
      </w:pPr>
    </w:p>
    <w:p w14:paraId="5C825FC8" w14:textId="77777777" w:rsidR="00CF53C3" w:rsidRPr="000C10DC" w:rsidRDefault="00CF53C3" w:rsidP="00CF53C3">
      <w:pPr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0C10DC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0C10DC">
        <w:rPr>
          <w:rFonts w:ascii="Open Sans" w:hAnsi="Open Sans" w:cs="Open Sans"/>
        </w:rPr>
        <w:t>.</w:t>
      </w:r>
    </w:p>
    <w:p w14:paraId="10A16768" w14:textId="77777777" w:rsidR="00CF53C3" w:rsidRPr="000C10DC" w:rsidRDefault="00CF53C3" w:rsidP="00CF53C3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1B08BBE7" w14:textId="77777777" w:rsidR="00CF53C3" w:rsidRPr="000C10DC" w:rsidRDefault="00CF53C3" w:rsidP="00CF53C3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CF53C3" w:rsidRPr="000C10DC" w14:paraId="27D2C82C" w14:textId="77777777" w:rsidTr="009D6831">
        <w:tc>
          <w:tcPr>
            <w:tcW w:w="4644" w:type="dxa"/>
          </w:tcPr>
          <w:p w14:paraId="391D4C7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Zadavatel:</w:t>
            </w:r>
          </w:p>
          <w:p w14:paraId="340AFF8B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0C10DC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24FA4593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0C10DC">
              <w:rPr>
                <w:rFonts w:ascii="Open Sans" w:hAnsi="Open Sans" w:cs="Open Sans"/>
                <w:bCs/>
              </w:rPr>
              <w:t>Jáchymovská 1</w:t>
            </w:r>
          </w:p>
          <w:p w14:paraId="304BD638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Cs/>
              </w:rPr>
              <w:t>36301 Ostrov</w:t>
            </w:r>
          </w:p>
          <w:p w14:paraId="6865F69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2AB0D272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5C863AFA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4916150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/>
              </w:rPr>
              <w:t>QCM administrace, s.r.o</w:t>
            </w:r>
            <w:r w:rsidRPr="000C10DC">
              <w:rPr>
                <w:rFonts w:ascii="Open Sans" w:hAnsi="Open Sans" w:cs="Open Sans"/>
              </w:rPr>
              <w:t>.</w:t>
            </w:r>
            <w:r w:rsidRPr="000C10DC">
              <w:rPr>
                <w:rFonts w:ascii="Open Sans" w:hAnsi="Open Sans" w:cs="Open Sans"/>
                <w:b/>
              </w:rPr>
              <w:t xml:space="preserve"> </w:t>
            </w:r>
          </w:p>
          <w:p w14:paraId="784F016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Heršpická 813/5,</w:t>
            </w:r>
          </w:p>
          <w:p w14:paraId="09F5568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 xml:space="preserve">639 00 Brno </w:t>
            </w:r>
          </w:p>
          <w:p w14:paraId="24058D54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040B94E7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4B5C1D09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CF53C3" w:rsidRPr="000C10DC" w14:paraId="2E5338CB" w14:textId="77777777" w:rsidTr="009D6831">
        <w:tc>
          <w:tcPr>
            <w:tcW w:w="4644" w:type="dxa"/>
          </w:tcPr>
          <w:p w14:paraId="5C561B05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 xml:space="preserve">IČO: </w:t>
            </w:r>
            <w:r w:rsidRPr="000C10DC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6E578341" w14:textId="77777777" w:rsidR="00CF53C3" w:rsidRPr="000C10DC" w:rsidRDefault="00CF53C3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07F69B20" w:rsidR="008D7C43" w:rsidRPr="00E50F68" w:rsidRDefault="00581C11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581C11">
              <w:rPr>
                <w:rFonts w:ascii="Open Sans" w:hAnsi="Open Sans" w:cs="Open Sans"/>
                <w:b/>
                <w:sz w:val="32"/>
                <w:szCs w:val="32"/>
              </w:rPr>
              <w:t>Svoz a využití či odstranění směsného komunálního odpadu pro město Ostrov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77777777" w:rsidR="008D7C43" w:rsidRPr="00E50F68" w:rsidRDefault="005A617A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Služby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16616FC2" w:rsidR="00485B37" w:rsidRPr="00E50F68" w:rsidRDefault="00581C11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581C11">
              <w:rPr>
                <w:rFonts w:ascii="Open Sans" w:hAnsi="Open Sans" w:cs="Open Sans"/>
                <w:b/>
                <w:sz w:val="32"/>
                <w:szCs w:val="32"/>
              </w:rPr>
              <w:t>Svoz a využití či odstranění směsného komunálního odpadu pro město Ostrov</w:t>
            </w:r>
          </w:p>
        </w:tc>
      </w:tr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6EC95917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5A617A" w:rsidRPr="00E50F68">
        <w:rPr>
          <w:rFonts w:ascii="Open Sans" w:hAnsi="Open Sans" w:cs="Open Sans"/>
          <w:b/>
        </w:rPr>
        <w:t>služeb</w:t>
      </w:r>
      <w:r w:rsidRPr="00E50F68">
        <w:rPr>
          <w:rFonts w:ascii="Open Sans" w:hAnsi="Open Sans" w:cs="Open Sans"/>
        </w:rPr>
        <w:t>:</w:t>
      </w:r>
      <w:bookmarkStart w:id="0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0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proofErr w:type="spellStart"/>
            <w:r w:rsidRPr="00E50F68">
              <w:rPr>
                <w:rFonts w:ascii="Open Sans" w:hAnsi="Open Sans" w:cs="Open Sans"/>
              </w:rPr>
              <w:t>Poř</w:t>
            </w:r>
            <w:proofErr w:type="spellEnd"/>
            <w:r w:rsidRPr="00E50F68">
              <w:rPr>
                <w:rFonts w:ascii="Open Sans" w:hAnsi="Open Sans" w:cs="Open Sans"/>
              </w:rPr>
              <w:t>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77777777" w:rsidR="00993AC2" w:rsidRPr="00E50F68" w:rsidRDefault="005A617A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Služba</w:t>
            </w:r>
          </w:p>
        </w:tc>
        <w:tc>
          <w:tcPr>
            <w:tcW w:w="2007" w:type="dxa"/>
            <w:vAlign w:val="center"/>
          </w:tcPr>
          <w:p w14:paraId="61C07EE5" w14:textId="77777777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5A617A" w:rsidRPr="00E50F68">
              <w:rPr>
                <w:rFonts w:ascii="Open Sans" w:hAnsi="Open Sans" w:cs="Open Sans"/>
              </w:rPr>
              <w:t>služby</w:t>
            </w:r>
          </w:p>
        </w:tc>
        <w:tc>
          <w:tcPr>
            <w:tcW w:w="1843" w:type="dxa"/>
            <w:vAlign w:val="center"/>
          </w:tcPr>
          <w:p w14:paraId="30D11299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Cena </w:t>
            </w:r>
            <w:r w:rsidR="005A617A" w:rsidRPr="00E50F68">
              <w:rPr>
                <w:rFonts w:ascii="Open Sans" w:hAnsi="Open Sans" w:cs="Open Sans"/>
              </w:rPr>
              <w:t>služby v Kč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</w:r>
            <w:proofErr w:type="gramStart"/>
            <w:r w:rsidRPr="00E50F68">
              <w:rPr>
                <w:rFonts w:ascii="Open Sans" w:hAnsi="Open Sans" w:cs="Open Sans"/>
              </w:rPr>
              <w:t>od - do</w:t>
            </w:r>
            <w:proofErr w:type="gramEnd"/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5E36700E" w14:textId="77777777" w:rsidR="00993AC2" w:rsidRPr="00E50F68" w:rsidRDefault="00993AC2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3751B50B" w14:textId="77777777" w:rsidR="003F7141" w:rsidRPr="00E50F68" w:rsidRDefault="003F7141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5B320ED1" w14:textId="77777777" w:rsidR="002471AD" w:rsidRPr="00EE5B37" w:rsidRDefault="002471AD" w:rsidP="002471AD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EE5B37">
        <w:rPr>
          <w:rFonts w:cs="Arial"/>
        </w:rPr>
        <w:t xml:space="preserve">předkládá následující seznam vybavení – </w:t>
      </w:r>
      <w:r w:rsidRPr="00EE5B37">
        <w:rPr>
          <w:rFonts w:cs="Arial"/>
          <w:i/>
          <w:iCs/>
        </w:rPr>
        <w:t>přehled nástrojů nebo pomůcek, provozních nebo technických zařízení, které bude mít dodavatel při plnění veřejné zakázky k dispozici</w:t>
      </w:r>
      <w:r w:rsidRPr="00EE5B37">
        <w:rPr>
          <w:rFonts w:cs="Arial"/>
        </w:rPr>
        <w:t>:</w:t>
      </w:r>
    </w:p>
    <w:p w14:paraId="2A6F58B2" w14:textId="77777777" w:rsidR="002471AD" w:rsidRPr="0054425A" w:rsidRDefault="002471AD" w:rsidP="002471AD">
      <w:pPr>
        <w:spacing w:after="0"/>
        <w:ind w:left="284"/>
        <w:jc w:val="both"/>
        <w:rPr>
          <w:rFonts w:cs="Arial"/>
        </w:rPr>
      </w:pPr>
    </w:p>
    <w:tbl>
      <w:tblPr>
        <w:tblpPr w:leftFromText="141" w:rightFromText="141" w:vertAnchor="text" w:horzAnchor="margin" w:tblpX="9" w:tblpY="1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20"/>
      </w:tblGrid>
      <w:tr w:rsidR="002471AD" w:rsidRPr="0054425A" w14:paraId="6F604AA0" w14:textId="77777777" w:rsidTr="009D6831">
        <w:trPr>
          <w:trHeight w:val="841"/>
        </w:trPr>
        <w:tc>
          <w:tcPr>
            <w:tcW w:w="2547" w:type="dxa"/>
          </w:tcPr>
          <w:p w14:paraId="0CAA664E" w14:textId="09AEDDB4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  <w:tc>
          <w:tcPr>
            <w:tcW w:w="6520" w:type="dxa"/>
          </w:tcPr>
          <w:p w14:paraId="00237650" w14:textId="77777777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6B7E8279" w14:textId="77777777" w:rsidR="002471AD" w:rsidRPr="0054425A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</w:tr>
      <w:tr w:rsidR="002471AD" w:rsidRPr="002853D7" w14:paraId="7F2BFC6A" w14:textId="77777777" w:rsidTr="009D6831">
        <w:trPr>
          <w:trHeight w:val="706"/>
        </w:trPr>
        <w:tc>
          <w:tcPr>
            <w:tcW w:w="2547" w:type="dxa"/>
          </w:tcPr>
          <w:p w14:paraId="31EC2AC4" w14:textId="77777777" w:rsidR="002471AD" w:rsidRPr="002853D7" w:rsidRDefault="002471AD" w:rsidP="007B73B5">
            <w:pPr>
              <w:spacing w:after="0"/>
              <w:ind w:left="284"/>
              <w:jc w:val="both"/>
              <w:rPr>
                <w:rFonts w:cs="Arial"/>
              </w:rPr>
            </w:pPr>
          </w:p>
        </w:tc>
        <w:tc>
          <w:tcPr>
            <w:tcW w:w="6520" w:type="dxa"/>
          </w:tcPr>
          <w:p w14:paraId="4C3175B9" w14:textId="77777777" w:rsidR="002471AD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207E0FDA" w14:textId="77777777" w:rsidR="002471AD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  <w:p w14:paraId="1F32E947" w14:textId="77777777" w:rsidR="002471AD" w:rsidRPr="002853D7" w:rsidRDefault="002471AD" w:rsidP="009D6831">
            <w:pPr>
              <w:spacing w:after="0"/>
              <w:ind w:left="284"/>
              <w:jc w:val="both"/>
              <w:rPr>
                <w:rFonts w:cs="Arial"/>
              </w:rPr>
            </w:pPr>
          </w:p>
        </w:tc>
      </w:tr>
    </w:tbl>
    <w:p w14:paraId="23DF7172" w14:textId="77777777" w:rsidR="002471AD" w:rsidRPr="002471AD" w:rsidRDefault="002471AD" w:rsidP="007B73B5">
      <w:pPr>
        <w:spacing w:after="0"/>
        <w:ind w:left="284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p w14:paraId="4E8E3C40" w14:textId="73E1EEDC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432DB493" w:rsidR="009D271F" w:rsidRPr="00E50F68" w:rsidRDefault="00581C11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581C11">
              <w:rPr>
                <w:rFonts w:ascii="Open Sans" w:hAnsi="Open Sans" w:cs="Open Sans"/>
                <w:b/>
                <w:sz w:val="32"/>
                <w:szCs w:val="32"/>
              </w:rPr>
              <w:t>Svoz a využití či odstranění směsného komunálního odpadu pro město Ostrov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E50F68">
        <w:rPr>
          <w:rFonts w:ascii="Open Sans" w:hAnsi="Open Sans" w:cs="Open Sans"/>
        </w:rPr>
        <w:t>,který</w:t>
      </w:r>
      <w:proofErr w:type="gramEnd"/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1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1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9DFD" w14:textId="77777777" w:rsidR="00FA053C" w:rsidRDefault="00FA053C" w:rsidP="00485B37">
      <w:pPr>
        <w:spacing w:after="0"/>
      </w:pPr>
      <w:r>
        <w:separator/>
      </w:r>
    </w:p>
  </w:endnote>
  <w:endnote w:type="continuationSeparator" w:id="0">
    <w:p w14:paraId="211EDCCF" w14:textId="77777777" w:rsidR="00FA053C" w:rsidRDefault="00FA053C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D834" w14:textId="77777777" w:rsidR="00FA053C" w:rsidRDefault="00FA053C" w:rsidP="00485B37">
      <w:pPr>
        <w:spacing w:after="0"/>
      </w:pPr>
      <w:r>
        <w:separator/>
      </w:r>
    </w:p>
  </w:footnote>
  <w:footnote w:type="continuationSeparator" w:id="0">
    <w:p w14:paraId="01E600B6" w14:textId="77777777" w:rsidR="00FA053C" w:rsidRDefault="00FA053C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342C1"/>
    <w:rsid w:val="000378DC"/>
    <w:rsid w:val="00037F7F"/>
    <w:rsid w:val="000709D9"/>
    <w:rsid w:val="000744E1"/>
    <w:rsid w:val="0007506E"/>
    <w:rsid w:val="00081F7C"/>
    <w:rsid w:val="00085248"/>
    <w:rsid w:val="000B126B"/>
    <w:rsid w:val="000C4352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201AF2"/>
    <w:rsid w:val="002102F2"/>
    <w:rsid w:val="002471AD"/>
    <w:rsid w:val="00254036"/>
    <w:rsid w:val="002646C2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2454E"/>
    <w:rsid w:val="00427C01"/>
    <w:rsid w:val="0043072A"/>
    <w:rsid w:val="00446A5B"/>
    <w:rsid w:val="00454BCC"/>
    <w:rsid w:val="00466DB3"/>
    <w:rsid w:val="00480E28"/>
    <w:rsid w:val="004850D9"/>
    <w:rsid w:val="00485B37"/>
    <w:rsid w:val="00492BED"/>
    <w:rsid w:val="004A3F8D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67184"/>
    <w:rsid w:val="00581C11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51B89"/>
    <w:rsid w:val="0077097E"/>
    <w:rsid w:val="007775F3"/>
    <w:rsid w:val="00787948"/>
    <w:rsid w:val="00796281"/>
    <w:rsid w:val="00797B85"/>
    <w:rsid w:val="007A1D79"/>
    <w:rsid w:val="007B73B5"/>
    <w:rsid w:val="007C32CF"/>
    <w:rsid w:val="007D34D5"/>
    <w:rsid w:val="00812225"/>
    <w:rsid w:val="00822DB0"/>
    <w:rsid w:val="008344FF"/>
    <w:rsid w:val="00863D1E"/>
    <w:rsid w:val="008877D8"/>
    <w:rsid w:val="008B2500"/>
    <w:rsid w:val="008C29FF"/>
    <w:rsid w:val="008D7C43"/>
    <w:rsid w:val="008F51D1"/>
    <w:rsid w:val="00906CB5"/>
    <w:rsid w:val="0097017C"/>
    <w:rsid w:val="00976472"/>
    <w:rsid w:val="00977C09"/>
    <w:rsid w:val="00993AC2"/>
    <w:rsid w:val="009B3C88"/>
    <w:rsid w:val="009D06FB"/>
    <w:rsid w:val="009D271F"/>
    <w:rsid w:val="009E145E"/>
    <w:rsid w:val="00A20770"/>
    <w:rsid w:val="00A31FD5"/>
    <w:rsid w:val="00A65487"/>
    <w:rsid w:val="00A65F09"/>
    <w:rsid w:val="00A73A9A"/>
    <w:rsid w:val="00A75D50"/>
    <w:rsid w:val="00A8755C"/>
    <w:rsid w:val="00AB31D3"/>
    <w:rsid w:val="00AF32D5"/>
    <w:rsid w:val="00B242FE"/>
    <w:rsid w:val="00B336F8"/>
    <w:rsid w:val="00B6680A"/>
    <w:rsid w:val="00BB4977"/>
    <w:rsid w:val="00BB7934"/>
    <w:rsid w:val="00BD0D85"/>
    <w:rsid w:val="00BD5991"/>
    <w:rsid w:val="00BD78A3"/>
    <w:rsid w:val="00BE456D"/>
    <w:rsid w:val="00BE467E"/>
    <w:rsid w:val="00BE5B61"/>
    <w:rsid w:val="00BF747D"/>
    <w:rsid w:val="00C46490"/>
    <w:rsid w:val="00C96C0B"/>
    <w:rsid w:val="00CC2FA6"/>
    <w:rsid w:val="00CC5F4E"/>
    <w:rsid w:val="00CD3B29"/>
    <w:rsid w:val="00CD4DD6"/>
    <w:rsid w:val="00CF53C3"/>
    <w:rsid w:val="00CF6A34"/>
    <w:rsid w:val="00D00B22"/>
    <w:rsid w:val="00D12BCC"/>
    <w:rsid w:val="00D13171"/>
    <w:rsid w:val="00D20290"/>
    <w:rsid w:val="00D2229D"/>
    <w:rsid w:val="00D52845"/>
    <w:rsid w:val="00D7107B"/>
    <w:rsid w:val="00D72B91"/>
    <w:rsid w:val="00D807C7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50F68"/>
    <w:rsid w:val="00E64BD7"/>
    <w:rsid w:val="00E9008A"/>
    <w:rsid w:val="00E901E5"/>
    <w:rsid w:val="00E9172D"/>
    <w:rsid w:val="00EA1C7E"/>
    <w:rsid w:val="00EB580D"/>
    <w:rsid w:val="00EB68B0"/>
    <w:rsid w:val="00ED0272"/>
    <w:rsid w:val="00EE5B37"/>
    <w:rsid w:val="00EF3F2B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1427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87</cp:revision>
  <dcterms:created xsi:type="dcterms:W3CDTF">2022-06-06T19:25:00Z</dcterms:created>
  <dcterms:modified xsi:type="dcterms:W3CDTF">2025-08-25T07:40:00Z</dcterms:modified>
</cp:coreProperties>
</file>